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CAC3" w14:textId="6747D72B" w:rsidR="00CA79CF" w:rsidRPr="00DF1525" w:rsidRDefault="00643F0C" w:rsidP="00DF1525">
      <w:pPr>
        <w:pStyle w:val="Title"/>
        <w:spacing w:line="276" w:lineRule="auto"/>
        <w:rPr>
          <w:rFonts w:cs="Arial"/>
        </w:rPr>
        <w:sectPr w:rsidR="00CA79CF" w:rsidRPr="00DF1525"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rsidRPr="00DF1525">
        <w:rPr>
          <w:rFonts w:cs="Arial"/>
        </w:rPr>
        <w:t>202</w:t>
      </w:r>
      <w:r w:rsidR="00D36086">
        <w:rPr>
          <w:rFonts w:cs="Arial"/>
        </w:rPr>
        <w:t>3</w:t>
      </w:r>
      <w:r w:rsidRPr="00DF1525">
        <w:rPr>
          <w:rFonts w:cs="Arial"/>
        </w:rPr>
        <w:t>-2</w:t>
      </w:r>
      <w:r w:rsidR="00D36086">
        <w:rPr>
          <w:rFonts w:cs="Arial"/>
        </w:rPr>
        <w:t>4</w:t>
      </w:r>
      <w:r w:rsidRPr="00DF1525">
        <w:rPr>
          <w:rFonts w:cs="Arial"/>
        </w:rPr>
        <w:t xml:space="preserve"> Aged Care Financial Report (ACFR) Guid</w:t>
      </w:r>
      <w:r w:rsidR="00D3425E" w:rsidRPr="00DF1525">
        <w:rPr>
          <w:rFonts w:cs="Arial"/>
        </w:rPr>
        <w:t>e</w:t>
      </w:r>
    </w:p>
    <w:p w14:paraId="448381DE" w14:textId="77777777" w:rsidR="00D3425E" w:rsidRPr="008F7F90" w:rsidRDefault="00D3425E" w:rsidP="00DF1525">
      <w:pPr>
        <w:autoSpaceDE w:val="0"/>
        <w:autoSpaceDN w:val="0"/>
        <w:adjustRightInd w:val="0"/>
        <w:spacing w:before="200" w:after="0"/>
        <w:rPr>
          <w:rFonts w:cs="Arial"/>
          <w:b/>
          <w:color w:val="002060"/>
          <w:sz w:val="28"/>
          <w:szCs w:val="28"/>
        </w:rPr>
      </w:pPr>
      <w:r w:rsidRPr="008F7F90">
        <w:rPr>
          <w:rFonts w:cs="Arial"/>
          <w:b/>
          <w:color w:val="002060"/>
          <w:sz w:val="28"/>
          <w:szCs w:val="28"/>
        </w:rPr>
        <w:lastRenderedPageBreak/>
        <w:t xml:space="preserve">Purpose of this guide </w:t>
      </w:r>
    </w:p>
    <w:p w14:paraId="0B0FB55F" w14:textId="161A0D3F" w:rsidR="002C0BEA" w:rsidRDefault="00D3425E" w:rsidP="007D3697">
      <w:pPr>
        <w:pStyle w:val="BodyText"/>
        <w:numPr>
          <w:ilvl w:val="0"/>
          <w:numId w:val="22"/>
        </w:numPr>
        <w:ind w:left="357" w:hanging="357"/>
        <w:rPr>
          <w:rFonts w:cs="Arial"/>
          <w:color w:val="auto"/>
          <w:lang w:val="en-US"/>
        </w:rPr>
      </w:pPr>
      <w:r w:rsidRPr="00DF1525">
        <w:rPr>
          <w:rFonts w:cs="Arial"/>
          <w:color w:val="auto"/>
          <w:lang w:val="en-US"/>
        </w:rPr>
        <w:t xml:space="preserve">This guide is designed to help </w:t>
      </w:r>
      <w:r w:rsidR="00CC5B34" w:rsidRPr="00DF1525">
        <w:rPr>
          <w:rFonts w:cs="Arial"/>
          <w:color w:val="auto"/>
          <w:lang w:val="en-US"/>
        </w:rPr>
        <w:t xml:space="preserve">approved providers (providers) of </w:t>
      </w:r>
      <w:r w:rsidR="00CC5B34">
        <w:rPr>
          <w:rFonts w:cs="Arial"/>
          <w:color w:val="auto"/>
          <w:lang w:val="en-US"/>
        </w:rPr>
        <w:t>r</w:t>
      </w:r>
      <w:r w:rsidR="00CC5B34" w:rsidRPr="00DF1525">
        <w:rPr>
          <w:rFonts w:cs="Arial"/>
          <w:color w:val="auto"/>
          <w:lang w:val="en-US"/>
        </w:rPr>
        <w:t xml:space="preserve">esidential </w:t>
      </w:r>
      <w:r w:rsidR="00CC5B34">
        <w:rPr>
          <w:rFonts w:cs="Arial"/>
          <w:color w:val="auto"/>
          <w:lang w:val="en-US"/>
        </w:rPr>
        <w:t>a</w:t>
      </w:r>
      <w:r w:rsidR="00CC5B34" w:rsidRPr="00DF1525">
        <w:rPr>
          <w:rFonts w:cs="Arial"/>
          <w:color w:val="auto"/>
          <w:lang w:val="en-US"/>
        </w:rPr>
        <w:t xml:space="preserve">ged </w:t>
      </w:r>
      <w:r w:rsidR="00CC5B34">
        <w:rPr>
          <w:rFonts w:cs="Arial"/>
          <w:color w:val="auto"/>
          <w:lang w:val="en-US"/>
        </w:rPr>
        <w:t>c</w:t>
      </w:r>
      <w:r w:rsidR="00CC5B34" w:rsidRPr="00DF1525">
        <w:rPr>
          <w:rFonts w:cs="Arial"/>
          <w:color w:val="auto"/>
          <w:lang w:val="en-US"/>
        </w:rPr>
        <w:t>are,</w:t>
      </w:r>
      <w:r w:rsidR="00D73D17">
        <w:rPr>
          <w:rFonts w:cs="Arial"/>
          <w:color w:val="auto"/>
          <w:lang w:val="en-US"/>
        </w:rPr>
        <w:t xml:space="preserve"> home care,</w:t>
      </w:r>
      <w:r w:rsidR="00CC5B34" w:rsidRPr="00DF1525">
        <w:rPr>
          <w:rFonts w:cs="Arial"/>
          <w:color w:val="auto"/>
          <w:lang w:val="en-US"/>
        </w:rPr>
        <w:t xml:space="preserve"> </w:t>
      </w:r>
      <w:r w:rsidR="00CC5B34">
        <w:rPr>
          <w:rFonts w:cs="Arial"/>
          <w:color w:val="auto"/>
          <w:lang w:val="en-US"/>
        </w:rPr>
        <w:t>m</w:t>
      </w:r>
      <w:r w:rsidR="00CC5B34" w:rsidRPr="00DF1525">
        <w:rPr>
          <w:rFonts w:cs="Arial"/>
          <w:color w:val="auto"/>
          <w:lang w:val="en-US"/>
        </w:rPr>
        <w:t>ulti-</w:t>
      </w:r>
      <w:r w:rsidR="00CC5B34">
        <w:rPr>
          <w:rFonts w:cs="Arial"/>
          <w:color w:val="auto"/>
          <w:lang w:val="en-US"/>
        </w:rPr>
        <w:t>pu</w:t>
      </w:r>
      <w:r w:rsidR="00CC5B34" w:rsidRPr="00DF1525">
        <w:rPr>
          <w:rFonts w:cs="Arial"/>
          <w:color w:val="auto"/>
          <w:lang w:val="en-US"/>
        </w:rPr>
        <w:t xml:space="preserve">rpose </w:t>
      </w:r>
      <w:r w:rsidR="00CC5B34">
        <w:rPr>
          <w:rFonts w:cs="Arial"/>
          <w:color w:val="auto"/>
          <w:lang w:val="en-US"/>
        </w:rPr>
        <w:t>s</w:t>
      </w:r>
      <w:r w:rsidR="00CC5B34" w:rsidRPr="00DF1525">
        <w:rPr>
          <w:rFonts w:cs="Arial"/>
          <w:color w:val="auto"/>
          <w:lang w:val="en-US"/>
        </w:rPr>
        <w:t>ervice</w:t>
      </w:r>
      <w:r w:rsidR="00D73D17">
        <w:rPr>
          <w:rFonts w:cs="Arial"/>
          <w:color w:val="auto"/>
          <w:lang w:val="en-US"/>
        </w:rPr>
        <w:t>s</w:t>
      </w:r>
      <w:r w:rsidR="00CC5B34" w:rsidRPr="00DF1525">
        <w:rPr>
          <w:rFonts w:cs="Arial"/>
          <w:color w:val="auto"/>
          <w:lang w:val="en-US"/>
        </w:rPr>
        <w:t xml:space="preserve">, and </w:t>
      </w:r>
      <w:r w:rsidR="00CC5B34">
        <w:rPr>
          <w:rFonts w:cs="Arial"/>
          <w:color w:val="auto"/>
          <w:lang w:val="en-US"/>
        </w:rPr>
        <w:t>s</w:t>
      </w:r>
      <w:r w:rsidR="00CC5B34" w:rsidRPr="00DF1525">
        <w:rPr>
          <w:rFonts w:cs="Arial"/>
          <w:color w:val="auto"/>
          <w:lang w:val="en-US"/>
        </w:rPr>
        <w:t>hort-</w:t>
      </w:r>
      <w:r w:rsidR="00CC5B34">
        <w:rPr>
          <w:rFonts w:cs="Arial"/>
          <w:color w:val="auto"/>
          <w:lang w:val="en-US"/>
        </w:rPr>
        <w:t>t</w:t>
      </w:r>
      <w:r w:rsidR="00CC5B34" w:rsidRPr="00DF1525">
        <w:rPr>
          <w:rFonts w:cs="Arial"/>
          <w:color w:val="auto"/>
          <w:lang w:val="en-US"/>
        </w:rPr>
        <w:t xml:space="preserve">erm </w:t>
      </w:r>
      <w:r w:rsidR="00CC5B34">
        <w:rPr>
          <w:rFonts w:cs="Arial"/>
          <w:color w:val="auto"/>
          <w:lang w:val="en-US"/>
        </w:rPr>
        <w:t>r</w:t>
      </w:r>
      <w:r w:rsidR="00CC5B34" w:rsidRPr="00DF1525">
        <w:rPr>
          <w:rFonts w:cs="Arial"/>
          <w:color w:val="auto"/>
          <w:lang w:val="en-US"/>
        </w:rPr>
        <w:t xml:space="preserve">estorative </w:t>
      </w:r>
      <w:r w:rsidR="00CC5B34">
        <w:rPr>
          <w:rFonts w:cs="Arial"/>
          <w:color w:val="auto"/>
          <w:lang w:val="en-US"/>
        </w:rPr>
        <w:t>c</w:t>
      </w:r>
      <w:r w:rsidR="00CC5B34" w:rsidRPr="00DF1525">
        <w:rPr>
          <w:rFonts w:cs="Arial"/>
          <w:color w:val="auto"/>
          <w:lang w:val="en-US"/>
        </w:rPr>
        <w:t>are</w:t>
      </w:r>
      <w:r w:rsidRPr="00DF1525">
        <w:rPr>
          <w:rFonts w:cs="Arial"/>
          <w:color w:val="auto"/>
          <w:lang w:val="en-US"/>
        </w:rPr>
        <w:t xml:space="preserve"> complete </w:t>
      </w:r>
      <w:r w:rsidR="00CC5B34">
        <w:rPr>
          <w:rFonts w:cs="Arial"/>
          <w:color w:val="auto"/>
          <w:lang w:val="en-US"/>
        </w:rPr>
        <w:t>their</w:t>
      </w:r>
      <w:r w:rsidRPr="00DF1525">
        <w:rPr>
          <w:rFonts w:cs="Arial"/>
          <w:color w:val="auto"/>
          <w:lang w:val="en-US"/>
        </w:rPr>
        <w:t xml:space="preserve"> Aged Care Financial Report (ACFR). In case of any inconsistencies between this guide and the </w:t>
      </w:r>
      <w:r w:rsidR="00617AB5">
        <w:rPr>
          <w:rFonts w:cs="Arial"/>
          <w:color w:val="auto"/>
          <w:lang w:val="en-US"/>
        </w:rPr>
        <w:t xml:space="preserve">ACFR </w:t>
      </w:r>
      <w:r w:rsidRPr="00DF1525">
        <w:rPr>
          <w:rFonts w:cs="Arial"/>
          <w:color w:val="auto"/>
          <w:lang w:val="en-US"/>
        </w:rPr>
        <w:t>portal, the portal should be the source relied on for setting out provider responsibilities.</w:t>
      </w:r>
    </w:p>
    <w:p w14:paraId="22BB69EA" w14:textId="30FA5089" w:rsidR="002C0BEA" w:rsidRPr="00A33F5F" w:rsidRDefault="002C0BEA" w:rsidP="002F4270">
      <w:pPr>
        <w:pStyle w:val="Heading2"/>
        <w:numPr>
          <w:ilvl w:val="0"/>
          <w:numId w:val="9"/>
        </w:numPr>
      </w:pPr>
      <w:r w:rsidRPr="00A33F5F">
        <w:t>General</w:t>
      </w:r>
    </w:p>
    <w:p w14:paraId="726A6C3F" w14:textId="4AAEAE28" w:rsidR="00D3425E" w:rsidRPr="00997823" w:rsidRDefault="00492735" w:rsidP="00DF1525">
      <w:pPr>
        <w:spacing w:before="200" w:after="0"/>
        <w:rPr>
          <w:rFonts w:cs="Arial"/>
          <w:b/>
          <w:color w:val="002060"/>
          <w:sz w:val="28"/>
          <w:szCs w:val="28"/>
        </w:rPr>
      </w:pPr>
      <w:r w:rsidRPr="00997823">
        <w:rPr>
          <w:rFonts w:cs="Arial"/>
          <w:b/>
          <w:color w:val="002060"/>
          <w:sz w:val="28"/>
          <w:szCs w:val="28"/>
        </w:rPr>
        <w:t>R</w:t>
      </w:r>
      <w:r w:rsidR="00D3425E" w:rsidRPr="00997823">
        <w:rPr>
          <w:rFonts w:cs="Arial"/>
          <w:b/>
          <w:color w:val="002060"/>
          <w:sz w:val="28"/>
          <w:szCs w:val="28"/>
        </w:rPr>
        <w:t>eporting responsibilities</w:t>
      </w:r>
    </w:p>
    <w:p w14:paraId="77C796AF" w14:textId="041B1C40" w:rsidR="00D3425E" w:rsidRPr="00E52154" w:rsidRDefault="00A6715A" w:rsidP="007D3697">
      <w:pPr>
        <w:pStyle w:val="Tablelistbullet"/>
        <w:spacing w:before="120" w:after="120"/>
        <w:rPr>
          <w:sz w:val="22"/>
          <w:szCs w:val="22"/>
        </w:rPr>
      </w:pPr>
      <w:r w:rsidRPr="00E52154">
        <w:rPr>
          <w:sz w:val="22"/>
          <w:szCs w:val="22"/>
        </w:rPr>
        <w:t>Providers</w:t>
      </w:r>
      <w:r w:rsidR="00D3425E" w:rsidRPr="00E52154">
        <w:rPr>
          <w:sz w:val="22"/>
          <w:szCs w:val="22"/>
        </w:rPr>
        <w:t xml:space="preserve"> must lodge all required sections of the ACFR with the department, via the ACFR portal</w:t>
      </w:r>
      <w:r w:rsidR="00AB4E7A" w:rsidRPr="00E52154">
        <w:rPr>
          <w:sz w:val="22"/>
          <w:szCs w:val="22"/>
        </w:rPr>
        <w:t>, available at</w:t>
      </w:r>
      <w:r w:rsidR="00D3425E" w:rsidRPr="00E52154">
        <w:rPr>
          <w:sz w:val="22"/>
          <w:szCs w:val="22"/>
        </w:rPr>
        <w:t xml:space="preserve"> </w:t>
      </w:r>
      <w:r w:rsidR="00242CE7" w:rsidRPr="00E52154">
        <w:rPr>
          <w:sz w:val="22"/>
          <w:szCs w:val="22"/>
        </w:rPr>
        <w:t xml:space="preserve">the </w:t>
      </w:r>
      <w:hyperlink r:id="rId13" w:history="1">
        <w:r w:rsidR="00242CE7" w:rsidRPr="00E52154">
          <w:rPr>
            <w:rStyle w:val="Hyperlink"/>
            <w:rFonts w:cs="Arial"/>
            <w:sz w:val="22"/>
            <w:szCs w:val="22"/>
          </w:rPr>
          <w:t>Forms Administration website</w:t>
        </w:r>
      </w:hyperlink>
      <w:r w:rsidR="00242CE7" w:rsidRPr="00E52154">
        <w:rPr>
          <w:sz w:val="22"/>
          <w:szCs w:val="22"/>
        </w:rPr>
        <w:t xml:space="preserve">. </w:t>
      </w:r>
    </w:p>
    <w:p w14:paraId="3EECA3B2" w14:textId="2150CAFC" w:rsidR="00D3425E" w:rsidRPr="00E52154" w:rsidRDefault="00956906" w:rsidP="007D3697">
      <w:pPr>
        <w:pStyle w:val="Tablelistbullet"/>
        <w:spacing w:before="120" w:after="120"/>
        <w:rPr>
          <w:sz w:val="22"/>
          <w:szCs w:val="22"/>
        </w:rPr>
      </w:pPr>
      <w:r w:rsidRPr="00E52154">
        <w:rPr>
          <w:sz w:val="22"/>
          <w:szCs w:val="22"/>
        </w:rPr>
        <w:t>The</w:t>
      </w:r>
      <w:r w:rsidR="00D3425E" w:rsidRPr="00E52154">
        <w:rPr>
          <w:sz w:val="22"/>
          <w:szCs w:val="22"/>
        </w:rPr>
        <w:t xml:space="preserve"> ACFR cannot be lodged until all sections relevant to </w:t>
      </w:r>
      <w:r w:rsidR="005C427B" w:rsidRPr="00E52154">
        <w:rPr>
          <w:sz w:val="22"/>
          <w:szCs w:val="22"/>
        </w:rPr>
        <w:t>the</w:t>
      </w:r>
      <w:r w:rsidR="00D3425E" w:rsidRPr="00E52154">
        <w:rPr>
          <w:sz w:val="22"/>
          <w:szCs w:val="22"/>
        </w:rPr>
        <w:t xml:space="preserve"> organisation are completed and all necessary documents have been uploaded at the ACFR portal.</w:t>
      </w:r>
    </w:p>
    <w:p w14:paraId="1750C1B4" w14:textId="7CF477AC" w:rsidR="00D3425E" w:rsidRPr="00E52154" w:rsidRDefault="00673861" w:rsidP="007D3697">
      <w:pPr>
        <w:pStyle w:val="Tablelistbullet"/>
        <w:spacing w:before="120" w:after="120"/>
        <w:rPr>
          <w:sz w:val="22"/>
          <w:szCs w:val="22"/>
        </w:rPr>
      </w:pPr>
      <w:r w:rsidRPr="00E52154">
        <w:rPr>
          <w:sz w:val="22"/>
          <w:szCs w:val="22"/>
        </w:rPr>
        <w:t xml:space="preserve">Providers </w:t>
      </w:r>
      <w:r w:rsidR="00AF7FF9" w:rsidRPr="00E52154">
        <w:rPr>
          <w:sz w:val="22"/>
          <w:szCs w:val="22"/>
        </w:rPr>
        <w:t>will receive a</w:t>
      </w:r>
      <w:r w:rsidR="00D3425E" w:rsidRPr="00E52154">
        <w:rPr>
          <w:sz w:val="22"/>
          <w:szCs w:val="22"/>
        </w:rPr>
        <w:t xml:space="preserve"> letter from the department outlin</w:t>
      </w:r>
      <w:r w:rsidR="00AF7FF9" w:rsidRPr="00E52154">
        <w:rPr>
          <w:sz w:val="22"/>
          <w:szCs w:val="22"/>
        </w:rPr>
        <w:t>ing</w:t>
      </w:r>
      <w:r w:rsidR="00D3425E" w:rsidRPr="00E52154">
        <w:rPr>
          <w:sz w:val="22"/>
          <w:szCs w:val="22"/>
        </w:rPr>
        <w:t xml:space="preserve"> the sections of the ACFR that are required to be completed</w:t>
      </w:r>
      <w:r w:rsidR="0071615D" w:rsidRPr="00E52154">
        <w:rPr>
          <w:sz w:val="22"/>
          <w:szCs w:val="22"/>
        </w:rPr>
        <w:t>.</w:t>
      </w:r>
    </w:p>
    <w:p w14:paraId="2352C431" w14:textId="3A5CBA58" w:rsidR="00D3425E" w:rsidRPr="00E52154" w:rsidRDefault="00D3425E" w:rsidP="007D3697">
      <w:pPr>
        <w:pStyle w:val="Tablelistbullet"/>
        <w:spacing w:before="120" w:after="120"/>
        <w:rPr>
          <w:sz w:val="22"/>
          <w:szCs w:val="22"/>
        </w:rPr>
      </w:pPr>
      <w:r w:rsidRPr="00E52154">
        <w:rPr>
          <w:sz w:val="22"/>
          <w:szCs w:val="22"/>
        </w:rPr>
        <w:t xml:space="preserve">The ACFR portal can only be accessed through </w:t>
      </w:r>
      <w:r w:rsidR="002A3001" w:rsidRPr="00E52154">
        <w:rPr>
          <w:sz w:val="22"/>
          <w:szCs w:val="22"/>
        </w:rPr>
        <w:t>a</w:t>
      </w:r>
      <w:r w:rsidRPr="00E52154">
        <w:rPr>
          <w:sz w:val="22"/>
          <w:szCs w:val="22"/>
        </w:rPr>
        <w:t xml:space="preserve"> </w:t>
      </w:r>
      <w:proofErr w:type="spellStart"/>
      <w:r w:rsidRPr="00E52154">
        <w:rPr>
          <w:sz w:val="22"/>
          <w:szCs w:val="22"/>
        </w:rPr>
        <w:t>myID</w:t>
      </w:r>
      <w:proofErr w:type="spellEnd"/>
      <w:r w:rsidRPr="00E52154">
        <w:rPr>
          <w:sz w:val="22"/>
          <w:szCs w:val="22"/>
        </w:rPr>
        <w:t xml:space="preserve"> login.</w:t>
      </w:r>
    </w:p>
    <w:p w14:paraId="428F8495" w14:textId="06C3997F" w:rsidR="00B55AA2" w:rsidRPr="00F356DF" w:rsidRDefault="00B55AA2" w:rsidP="00B55AA2">
      <w:pPr>
        <w:pStyle w:val="TOCHeading"/>
        <w:rPr>
          <w:rFonts w:ascii="Arial" w:hAnsi="Arial" w:cs="Arial"/>
          <w:color w:val="002060"/>
        </w:rPr>
      </w:pPr>
      <w:proofErr w:type="spellStart"/>
      <w:r w:rsidRPr="00F356DF">
        <w:rPr>
          <w:rFonts w:ascii="Arial" w:hAnsi="Arial" w:cs="Arial"/>
          <w:color w:val="002060"/>
        </w:rPr>
        <w:t>Lodg</w:t>
      </w:r>
      <w:r w:rsidR="00C5158F">
        <w:rPr>
          <w:rFonts w:ascii="Arial" w:hAnsi="Arial" w:cs="Arial"/>
          <w:color w:val="002060"/>
        </w:rPr>
        <w:t>e</w:t>
      </w:r>
      <w:r w:rsidRPr="00F356DF">
        <w:rPr>
          <w:rFonts w:ascii="Arial" w:hAnsi="Arial" w:cs="Arial"/>
          <w:color w:val="002060"/>
        </w:rPr>
        <w:t>ment</w:t>
      </w:r>
      <w:proofErr w:type="spellEnd"/>
      <w:r w:rsidRPr="00F356DF">
        <w:rPr>
          <w:rFonts w:ascii="Arial" w:hAnsi="Arial" w:cs="Arial"/>
          <w:color w:val="002060"/>
        </w:rPr>
        <w:t xml:space="preserve"> date </w:t>
      </w:r>
    </w:p>
    <w:p w14:paraId="48257AEE" w14:textId="1DC7A029" w:rsidR="0082546F" w:rsidRPr="0082546F" w:rsidRDefault="00B55AA2" w:rsidP="00D36C32">
      <w:pPr>
        <w:pStyle w:val="ListParagraph"/>
        <w:numPr>
          <w:ilvl w:val="0"/>
          <w:numId w:val="20"/>
        </w:numPr>
        <w:ind w:left="357" w:hanging="357"/>
        <w:rPr>
          <w:rFonts w:cs="Arial"/>
        </w:rPr>
      </w:pPr>
      <w:r w:rsidRPr="0082546F">
        <w:rPr>
          <w:rFonts w:cs="Arial"/>
        </w:rPr>
        <w:t xml:space="preserve">As required under section 37 of the </w:t>
      </w:r>
      <w:r w:rsidRPr="0082546F">
        <w:rPr>
          <w:rFonts w:cs="Arial"/>
          <w:i/>
        </w:rPr>
        <w:t>Accountability Principles 2014</w:t>
      </w:r>
      <w:r w:rsidRPr="0082546F">
        <w:rPr>
          <w:rFonts w:cs="Arial"/>
        </w:rPr>
        <w:t xml:space="preserve">, an approved provider </w:t>
      </w:r>
      <w:r w:rsidRPr="0082546F">
        <w:rPr>
          <w:rFonts w:cs="Arial"/>
          <w:bCs/>
        </w:rPr>
        <w:t>must,</w:t>
      </w:r>
      <w:r w:rsidRPr="0082546F">
        <w:rPr>
          <w:rFonts w:cs="Arial"/>
        </w:rPr>
        <w:t xml:space="preserve"> within four months after the end of each financial year for the approved provider, give the Secretary the required ACFR in relation to the relevant financial year.</w:t>
      </w:r>
      <w:r w:rsidR="0075322D" w:rsidRPr="0082546F">
        <w:rPr>
          <w:rFonts w:cs="Arial"/>
        </w:rPr>
        <w:t xml:space="preserve"> Providers who have a financial year ending 30 June, must complete and lodge their ACFR by </w:t>
      </w:r>
      <w:r w:rsidR="0075322D" w:rsidRPr="0082546F">
        <w:rPr>
          <w:rFonts w:cs="Arial"/>
          <w:bCs/>
        </w:rPr>
        <w:t>31 October 2024</w:t>
      </w:r>
      <w:r w:rsidR="00211B43" w:rsidRPr="0082546F">
        <w:rPr>
          <w:rFonts w:cs="Arial"/>
          <w:b/>
        </w:rPr>
        <w:t>.</w:t>
      </w:r>
    </w:p>
    <w:p w14:paraId="0096C624" w14:textId="2B183EE9" w:rsidR="0082546F" w:rsidRPr="0082546F" w:rsidRDefault="00B55AA2" w:rsidP="00D36C32">
      <w:pPr>
        <w:pStyle w:val="ListParagraph"/>
        <w:numPr>
          <w:ilvl w:val="0"/>
          <w:numId w:val="20"/>
        </w:numPr>
        <w:ind w:left="357" w:hanging="357"/>
        <w:rPr>
          <w:rFonts w:cs="Arial"/>
          <w:bCs/>
        </w:rPr>
      </w:pPr>
      <w:r w:rsidRPr="0082546F">
        <w:rPr>
          <w:rFonts w:cs="Arial"/>
        </w:rPr>
        <w:t xml:space="preserve">There is no provision under the </w:t>
      </w:r>
      <w:r w:rsidRPr="0082546F">
        <w:rPr>
          <w:rFonts w:cs="Arial"/>
          <w:i/>
        </w:rPr>
        <w:t>Aged Care Act 1997</w:t>
      </w:r>
      <w:r w:rsidRPr="0082546F">
        <w:rPr>
          <w:rFonts w:cs="Arial"/>
        </w:rPr>
        <w:t xml:space="preserve"> or </w:t>
      </w:r>
      <w:r w:rsidRPr="0082546F">
        <w:rPr>
          <w:rFonts w:cs="Arial"/>
          <w:i/>
        </w:rPr>
        <w:t>Accountability Principles 2014</w:t>
      </w:r>
      <w:r w:rsidRPr="0082546F">
        <w:rPr>
          <w:rFonts w:cs="Arial"/>
        </w:rPr>
        <w:t xml:space="preserve"> to allow for a later reporting date. </w:t>
      </w:r>
      <w:r w:rsidRPr="0082546F">
        <w:rPr>
          <w:rFonts w:cs="Arial"/>
          <w:bCs/>
        </w:rPr>
        <w:t xml:space="preserve">No extension of time will be given for the lodgement outside of this legislated period. </w:t>
      </w:r>
      <w:r w:rsidR="002072A3" w:rsidRPr="0082546F">
        <w:rPr>
          <w:rFonts w:cs="Arial"/>
        </w:rPr>
        <w:t>Providers are encouraged to complete and lodge their ACFR early to provide adequate time to address any issues and finalise all components of the ACFR</w:t>
      </w:r>
      <w:r w:rsidR="00877ABB" w:rsidRPr="0082546F">
        <w:rPr>
          <w:rFonts w:cs="Arial"/>
        </w:rPr>
        <w:t>.</w:t>
      </w:r>
    </w:p>
    <w:p w14:paraId="64CF6563" w14:textId="77777777" w:rsidR="00B55AA2" w:rsidRPr="0082546F" w:rsidRDefault="00B55AA2" w:rsidP="00D36C32">
      <w:pPr>
        <w:pStyle w:val="ListParagraph"/>
        <w:numPr>
          <w:ilvl w:val="0"/>
          <w:numId w:val="20"/>
        </w:numPr>
        <w:ind w:left="357" w:hanging="357"/>
        <w:rPr>
          <w:rFonts w:cs="Arial"/>
        </w:rPr>
      </w:pPr>
      <w:r w:rsidRPr="0082546F">
        <w:rPr>
          <w:rFonts w:cs="Arial"/>
        </w:rPr>
        <w:t>The Aged Care Quality and Safety Commission can take compliance action if providers fail to comply with these requirements.</w:t>
      </w:r>
    </w:p>
    <w:p w14:paraId="03716FB8" w14:textId="77777777" w:rsidR="00B55AA2" w:rsidRPr="00F356DF" w:rsidRDefault="00B55AA2" w:rsidP="00B55AA2">
      <w:pPr>
        <w:pStyle w:val="TOCHeading"/>
        <w:spacing w:before="240"/>
        <w:rPr>
          <w:rFonts w:ascii="Arial" w:hAnsi="Arial" w:cs="Arial"/>
          <w:color w:val="002060"/>
        </w:rPr>
      </w:pPr>
      <w:r>
        <w:rPr>
          <w:rFonts w:ascii="Arial" w:hAnsi="Arial" w:cs="Arial"/>
          <w:color w:val="002060"/>
        </w:rPr>
        <w:t>Alternative</w:t>
      </w:r>
      <w:r w:rsidRPr="00F356DF">
        <w:rPr>
          <w:rFonts w:ascii="Arial" w:hAnsi="Arial" w:cs="Arial"/>
          <w:color w:val="002060"/>
        </w:rPr>
        <w:t xml:space="preserve"> financial year </w:t>
      </w:r>
    </w:p>
    <w:p w14:paraId="2473B814" w14:textId="595715D5" w:rsidR="0082546F" w:rsidRPr="0082546F" w:rsidRDefault="00B55AA2" w:rsidP="00D36C32">
      <w:pPr>
        <w:pStyle w:val="ListParagraph"/>
        <w:numPr>
          <w:ilvl w:val="0"/>
          <w:numId w:val="21"/>
        </w:numPr>
        <w:ind w:hanging="357"/>
        <w:rPr>
          <w:rFonts w:cs="Arial"/>
        </w:rPr>
      </w:pPr>
      <w:r w:rsidRPr="0082546F">
        <w:rPr>
          <w:rFonts w:cs="Arial"/>
        </w:rPr>
        <w:t>Providers may apply for an alternative financial year</w:t>
      </w:r>
      <w:r w:rsidRPr="0082546F" w:rsidDel="00CD4B1D">
        <w:rPr>
          <w:rFonts w:cs="Arial"/>
        </w:rPr>
        <w:t xml:space="preserve"> </w:t>
      </w:r>
      <w:r w:rsidRPr="0082546F">
        <w:rPr>
          <w:rFonts w:cs="Arial"/>
        </w:rPr>
        <w:t xml:space="preserve">if they do not use the standard financial year of 1 July to 30 June. Please note an alternative different financial year can only be approved if the Secretary is satisfied, on reasonable grounds, that it would be impracticable for a provider to prepare a financial report for the standard financial year. In general, a determination will only be available where a provider does not currently have the systems or processes in place that would reasonably allow them to meet the requirement of reporting for the standard financial year. </w:t>
      </w:r>
    </w:p>
    <w:p w14:paraId="36BFF4DC" w14:textId="77777777" w:rsidR="00B55AA2" w:rsidRPr="0082546F" w:rsidRDefault="00B55AA2" w:rsidP="00D36C32">
      <w:pPr>
        <w:pStyle w:val="ListParagraph"/>
        <w:numPr>
          <w:ilvl w:val="0"/>
          <w:numId w:val="21"/>
        </w:numPr>
        <w:ind w:hanging="357"/>
        <w:rPr>
          <w:rFonts w:cs="Arial"/>
        </w:rPr>
      </w:pPr>
      <w:r w:rsidRPr="0082546F">
        <w:rPr>
          <w:rFonts w:cs="Arial"/>
        </w:rPr>
        <w:t>Providers may:</w:t>
      </w:r>
    </w:p>
    <w:p w14:paraId="7D2167F8" w14:textId="1FC1CAB1" w:rsidR="00B55AA2" w:rsidRDefault="00B55AA2" w:rsidP="00D36C32">
      <w:pPr>
        <w:pStyle w:val="ListNumber2"/>
        <w:numPr>
          <w:ilvl w:val="1"/>
          <w:numId w:val="21"/>
        </w:numPr>
        <w:spacing w:before="120" w:after="120"/>
        <w:ind w:hanging="357"/>
      </w:pPr>
      <w:r w:rsidRPr="00DF1525">
        <w:lastRenderedPageBreak/>
        <w:t>apply for a determination to move from a non-standard financial year to a standard financial year by allowing for a financial year of less than 12 months</w:t>
      </w:r>
    </w:p>
    <w:p w14:paraId="48653F60" w14:textId="2283EAE5" w:rsidR="00115874" w:rsidRPr="00DF1525" w:rsidRDefault="00115874" w:rsidP="00D36C32">
      <w:pPr>
        <w:pStyle w:val="ListNumber2"/>
        <w:numPr>
          <w:ilvl w:val="1"/>
          <w:numId w:val="21"/>
        </w:numPr>
        <w:spacing w:before="120" w:after="120"/>
        <w:ind w:hanging="357"/>
      </w:pPr>
      <w:r>
        <w:t>apply for a determination of a non-</w:t>
      </w:r>
      <w:r w:rsidR="002F4270">
        <w:t>standard</w:t>
      </w:r>
      <w:r>
        <w:t xml:space="preserve"> financial year where it is </w:t>
      </w:r>
      <w:r w:rsidR="002F4270">
        <w:t xml:space="preserve">impractical to comply with the standard financial year (i.e. July to June). </w:t>
      </w:r>
    </w:p>
    <w:p w14:paraId="3CD66D62" w14:textId="0FD9FDCF" w:rsidR="00B55AA2" w:rsidRPr="00115874" w:rsidRDefault="00B55AA2" w:rsidP="00D36C32">
      <w:pPr>
        <w:pStyle w:val="ListNumber2"/>
        <w:spacing w:before="120" w:after="120"/>
        <w:ind w:hanging="357"/>
      </w:pPr>
      <w:r w:rsidRPr="00115874">
        <w:t>Providers can request an application form for a different financial year by calling Forms Administration on (02) 4403 0640 (or via email</w:t>
      </w:r>
      <w:r w:rsidR="008F7589" w:rsidRPr="00115874">
        <w:t xml:space="preserve"> </w:t>
      </w:r>
      <w:hyperlink r:id="rId14" w:history="1">
        <w:r w:rsidR="00EA7F97" w:rsidRPr="003A2C36">
          <w:rPr>
            <w:rStyle w:val="Hyperlink"/>
            <w:lang w:val="en-US"/>
          </w:rPr>
          <w:t>health@formsadministration.com.au</w:t>
        </w:r>
      </w:hyperlink>
      <w:r w:rsidR="007E5E2C" w:rsidRPr="00115874">
        <w:rPr>
          <w:color w:val="0000FF" w:themeColor="hyperlink"/>
          <w:u w:val="single"/>
          <w:lang w:val="en-US"/>
        </w:rPr>
        <w:t>.</w:t>
      </w:r>
      <w:r w:rsidR="00EA7F97">
        <w:t xml:space="preserve"> </w:t>
      </w:r>
      <w:r w:rsidRPr="00115874">
        <w:t>Please note, the department has 28 working days in which to process any application for alternative arrangements, therefore any request for a different financial year must be made by 30 September 2024.</w:t>
      </w:r>
    </w:p>
    <w:p w14:paraId="393D627E" w14:textId="4B5774A7" w:rsidR="00D3425E" w:rsidRPr="008F7F90" w:rsidRDefault="00D3425E" w:rsidP="00DF1525">
      <w:pPr>
        <w:spacing w:before="200" w:after="0"/>
        <w:rPr>
          <w:rFonts w:cs="Arial"/>
          <w:b/>
          <w:color w:val="002060"/>
          <w:sz w:val="28"/>
          <w:szCs w:val="28"/>
        </w:rPr>
      </w:pPr>
      <w:r w:rsidRPr="008F7F90">
        <w:rPr>
          <w:rFonts w:cs="Arial"/>
          <w:b/>
          <w:color w:val="002060"/>
          <w:sz w:val="28"/>
          <w:szCs w:val="28"/>
        </w:rPr>
        <w:t>Questions and feedback</w:t>
      </w:r>
    </w:p>
    <w:p w14:paraId="026DE1A9" w14:textId="0973D635" w:rsidR="0082546F" w:rsidRDefault="00D445A6" w:rsidP="002F4270">
      <w:pPr>
        <w:pStyle w:val="ListParagraph"/>
        <w:numPr>
          <w:ilvl w:val="0"/>
          <w:numId w:val="19"/>
        </w:numPr>
        <w:rPr>
          <w:rFonts w:cs="Arial"/>
        </w:rPr>
      </w:pPr>
      <w:r w:rsidRPr="0082546F">
        <w:rPr>
          <w:rFonts w:cs="Arial"/>
        </w:rPr>
        <w:t xml:space="preserve">Resources including definitions and the frequently asked question document are available on the </w:t>
      </w:r>
      <w:hyperlink r:id="rId15" w:history="1">
        <w:r w:rsidRPr="0082546F">
          <w:rPr>
            <w:rStyle w:val="Hyperlink"/>
            <w:rFonts w:cs="Arial"/>
          </w:rPr>
          <w:t>departmental</w:t>
        </w:r>
      </w:hyperlink>
      <w:r w:rsidRPr="0082546F">
        <w:rPr>
          <w:rFonts w:cs="Arial"/>
        </w:rPr>
        <w:t xml:space="preserve"> and </w:t>
      </w:r>
      <w:hyperlink r:id="rId16" w:history="1">
        <w:r w:rsidRPr="00455145">
          <w:rPr>
            <w:rStyle w:val="Hyperlink"/>
            <w:rFonts w:cs="Arial"/>
          </w:rPr>
          <w:t>Forms Administration website</w:t>
        </w:r>
      </w:hyperlink>
      <w:r w:rsidRPr="0082546F">
        <w:rPr>
          <w:rFonts w:cs="Arial"/>
        </w:rPr>
        <w:t xml:space="preserve">. </w:t>
      </w:r>
    </w:p>
    <w:p w14:paraId="6242F60B" w14:textId="30DF5287" w:rsidR="0082546F" w:rsidRPr="0082546F" w:rsidRDefault="002402BD" w:rsidP="002F4270">
      <w:pPr>
        <w:pStyle w:val="ListParagraph"/>
        <w:numPr>
          <w:ilvl w:val="0"/>
          <w:numId w:val="19"/>
        </w:numPr>
        <w:rPr>
          <w:rFonts w:cs="Arial"/>
        </w:rPr>
      </w:pPr>
      <w:r w:rsidRPr="0082546F">
        <w:rPr>
          <w:rFonts w:cs="Arial"/>
        </w:rPr>
        <w:t>For</w:t>
      </w:r>
      <w:r w:rsidR="00D3425E" w:rsidRPr="0082546F">
        <w:rPr>
          <w:rFonts w:cs="Arial"/>
        </w:rPr>
        <w:t xml:space="preserve"> any questions </w:t>
      </w:r>
      <w:r w:rsidR="00291D9D" w:rsidRPr="0082546F">
        <w:rPr>
          <w:rFonts w:cs="Arial"/>
        </w:rPr>
        <w:t>relating to</w:t>
      </w:r>
      <w:r w:rsidR="00D3425E" w:rsidRPr="0082546F">
        <w:rPr>
          <w:rFonts w:cs="Arial"/>
        </w:rPr>
        <w:t xml:space="preserve"> the </w:t>
      </w:r>
      <w:r w:rsidR="00291D9D" w:rsidRPr="0082546F">
        <w:rPr>
          <w:rFonts w:cs="Arial"/>
        </w:rPr>
        <w:t>completion</w:t>
      </w:r>
      <w:r w:rsidR="00D3425E" w:rsidRPr="0082546F">
        <w:rPr>
          <w:rFonts w:cs="Arial"/>
        </w:rPr>
        <w:t xml:space="preserve"> of </w:t>
      </w:r>
      <w:r w:rsidR="00291D9D" w:rsidRPr="0082546F">
        <w:rPr>
          <w:rFonts w:cs="Arial"/>
        </w:rPr>
        <w:t>the ACFR including the</w:t>
      </w:r>
      <w:r w:rsidR="00D3425E" w:rsidRPr="0082546F">
        <w:rPr>
          <w:rFonts w:cs="Arial"/>
        </w:rPr>
        <w:t xml:space="preserve"> audited GPFS</w:t>
      </w:r>
      <w:r w:rsidR="00225EEC" w:rsidRPr="0082546F">
        <w:rPr>
          <w:rFonts w:cs="Arial"/>
        </w:rPr>
        <w:t xml:space="preserve"> or</w:t>
      </w:r>
      <w:r w:rsidR="00D3425E" w:rsidRPr="0082546F">
        <w:rPr>
          <w:rFonts w:cs="Arial"/>
        </w:rPr>
        <w:t xml:space="preserve"> APCS Compliance Audit</w:t>
      </w:r>
      <w:r w:rsidR="00D3425E" w:rsidRPr="0082546F" w:rsidDel="00F77B2B">
        <w:rPr>
          <w:rFonts w:cs="Arial"/>
        </w:rPr>
        <w:t xml:space="preserve"> </w:t>
      </w:r>
      <w:r w:rsidR="00D3425E" w:rsidRPr="0082546F">
        <w:rPr>
          <w:rFonts w:cs="Arial"/>
        </w:rPr>
        <w:t>please contact Forms Administration on (02) 4403 0640</w:t>
      </w:r>
      <w:r w:rsidR="00D3425E" w:rsidRPr="0082546F">
        <w:rPr>
          <w:rFonts w:cs="Arial"/>
          <w:bCs/>
        </w:rPr>
        <w:t xml:space="preserve"> or via email </w:t>
      </w:r>
      <w:r w:rsidR="00D3425E" w:rsidRPr="0082546F">
        <w:rPr>
          <w:rFonts w:cs="Arial"/>
          <w:color w:val="0000FF" w:themeColor="hyperlink"/>
          <w:u w:val="single"/>
          <w:lang w:val="en-US"/>
        </w:rPr>
        <w:t>health@formsadministration.com.au.</w:t>
      </w:r>
    </w:p>
    <w:p w14:paraId="6411E249" w14:textId="46CC4520" w:rsidR="0082546F" w:rsidRPr="0082546F" w:rsidRDefault="002402BD" w:rsidP="002F4270">
      <w:pPr>
        <w:pStyle w:val="ListParagraph"/>
        <w:numPr>
          <w:ilvl w:val="0"/>
          <w:numId w:val="19"/>
        </w:numPr>
        <w:rPr>
          <w:rFonts w:cs="Arial"/>
          <w:b/>
          <w:i/>
          <w:lang w:val="en-US"/>
        </w:rPr>
      </w:pPr>
      <w:r w:rsidRPr="0082546F">
        <w:rPr>
          <w:rFonts w:cs="Arial"/>
          <w:lang w:val="en-US"/>
        </w:rPr>
        <w:t>For</w:t>
      </w:r>
      <w:r w:rsidR="00D3425E" w:rsidRPr="0082546F">
        <w:rPr>
          <w:rFonts w:cs="Arial"/>
          <w:lang w:val="en-US"/>
        </w:rPr>
        <w:t xml:space="preserve"> help report</w:t>
      </w:r>
      <w:r w:rsidRPr="0082546F">
        <w:rPr>
          <w:rFonts w:cs="Arial"/>
          <w:lang w:val="en-US"/>
        </w:rPr>
        <w:t>ing</w:t>
      </w:r>
      <w:r w:rsidR="00D3425E" w:rsidRPr="0082546F">
        <w:rPr>
          <w:rFonts w:cs="Arial"/>
          <w:lang w:val="en-US"/>
        </w:rPr>
        <w:t xml:space="preserve"> residential care or home care expenses data in the ACFR please email </w:t>
      </w:r>
      <w:hyperlink r:id="rId17" w:history="1">
        <w:r w:rsidR="00D3425E" w:rsidRPr="0082546F">
          <w:rPr>
            <w:rFonts w:cs="Arial"/>
            <w:color w:val="0000FF" w:themeColor="hyperlink"/>
            <w:u w:val="single"/>
            <w:lang w:val="en-US"/>
          </w:rPr>
          <w:t>qfracfrhelp@health.gov.au</w:t>
        </w:r>
      </w:hyperlink>
    </w:p>
    <w:p w14:paraId="576F2F4A" w14:textId="72F75C4A" w:rsidR="00D3425E" w:rsidRPr="0082546F" w:rsidRDefault="00291D9D" w:rsidP="002F4270">
      <w:pPr>
        <w:pStyle w:val="ListParagraph"/>
        <w:numPr>
          <w:ilvl w:val="0"/>
          <w:numId w:val="19"/>
        </w:numPr>
        <w:rPr>
          <w:rFonts w:cs="Arial"/>
        </w:rPr>
      </w:pPr>
      <w:r w:rsidRPr="0082546F">
        <w:rPr>
          <w:rFonts w:cs="Arial"/>
        </w:rPr>
        <w:t>To provide</w:t>
      </w:r>
      <w:r w:rsidR="00D3425E" w:rsidRPr="0082546F">
        <w:rPr>
          <w:rFonts w:cs="Arial"/>
        </w:rPr>
        <w:t xml:space="preserve"> feedback </w:t>
      </w:r>
      <w:r w:rsidRPr="0082546F">
        <w:rPr>
          <w:rFonts w:cs="Arial"/>
        </w:rPr>
        <w:t>to</w:t>
      </w:r>
      <w:r w:rsidR="00F539E6" w:rsidRPr="0082546F">
        <w:rPr>
          <w:rFonts w:cs="Arial"/>
        </w:rPr>
        <w:t xml:space="preserve"> the </w:t>
      </w:r>
      <w:r w:rsidR="00AB5281" w:rsidRPr="0082546F">
        <w:rPr>
          <w:rFonts w:cs="Arial"/>
        </w:rPr>
        <w:t>department</w:t>
      </w:r>
      <w:r w:rsidR="00AB5281" w:rsidRPr="0082546F">
        <w:rPr>
          <w:rFonts w:cs="Arial"/>
          <w:b/>
        </w:rPr>
        <w:t xml:space="preserve"> </w:t>
      </w:r>
      <w:r w:rsidR="00D3425E" w:rsidRPr="0082546F">
        <w:rPr>
          <w:rFonts w:cs="Arial"/>
          <w:lang w:val="en"/>
        </w:rPr>
        <w:t>on the financial reporting arrangements, please email</w:t>
      </w:r>
      <w:r w:rsidR="00F539E6" w:rsidRPr="0082546F">
        <w:rPr>
          <w:rFonts w:cs="Arial"/>
          <w:lang w:val="en"/>
        </w:rPr>
        <w:t xml:space="preserve"> </w:t>
      </w:r>
      <w:hyperlink r:id="rId18" w:history="1">
        <w:r w:rsidR="003E5B2A" w:rsidRPr="0082546F">
          <w:rPr>
            <w:rStyle w:val="Hyperlink"/>
            <w:rFonts w:cs="Arial"/>
            <w:lang w:val="en"/>
          </w:rPr>
          <w:t>ACFRQFRQueries@health.gov.au</w:t>
        </w:r>
      </w:hyperlink>
      <w:r w:rsidR="00F539E6" w:rsidRPr="0082546F">
        <w:rPr>
          <w:rFonts w:cs="Arial"/>
          <w:lang w:val="en"/>
        </w:rPr>
        <w:t xml:space="preserve">. </w:t>
      </w:r>
      <w:r w:rsidR="00D3425E" w:rsidRPr="0082546F">
        <w:rPr>
          <w:rFonts w:cs="Arial"/>
        </w:rPr>
        <w:t xml:space="preserve"> </w:t>
      </w:r>
    </w:p>
    <w:p w14:paraId="5F760715" w14:textId="77777777" w:rsidR="00D3425E" w:rsidRPr="00DF1525" w:rsidRDefault="00D3425E" w:rsidP="00DF1525">
      <w:pPr>
        <w:rPr>
          <w:rFonts w:cs="Arial"/>
        </w:rPr>
      </w:pPr>
      <w:r w:rsidRPr="00DF1525">
        <w:rPr>
          <w:rFonts w:cs="Arial"/>
        </w:rPr>
        <w:br w:type="page"/>
      </w:r>
    </w:p>
    <w:p w14:paraId="4DFAA00C" w14:textId="4AA76E60" w:rsidR="00D3425E" w:rsidRPr="008F7F90" w:rsidRDefault="00997823" w:rsidP="00341487">
      <w:pPr>
        <w:pStyle w:val="Heading2"/>
        <w:rPr>
          <w:color w:val="002060"/>
        </w:rPr>
      </w:pPr>
      <w:bookmarkStart w:id="0" w:name="_Toc488160237"/>
      <w:r>
        <w:lastRenderedPageBreak/>
        <w:t xml:space="preserve">2.0 </w:t>
      </w:r>
      <w:r w:rsidR="00D3425E" w:rsidRPr="008F7F90">
        <w:t xml:space="preserve">ACFR </w:t>
      </w:r>
      <w:bookmarkEnd w:id="0"/>
      <w:r w:rsidR="00492735">
        <w:t>sections</w:t>
      </w:r>
    </w:p>
    <w:p w14:paraId="22DACA06" w14:textId="2501EE40" w:rsidR="00D3425E" w:rsidRPr="00DF1525" w:rsidRDefault="00D3425E" w:rsidP="00D36C32">
      <w:pPr>
        <w:rPr>
          <w:rFonts w:cs="Arial"/>
        </w:rPr>
      </w:pPr>
      <w:r w:rsidRPr="00DF1525">
        <w:rPr>
          <w:rFonts w:cs="Arial"/>
        </w:rPr>
        <w:t xml:space="preserve">The ACFR portal will be customised for each approved provider and only the </w:t>
      </w:r>
      <w:r w:rsidR="00C415BC">
        <w:rPr>
          <w:rFonts w:cs="Arial"/>
        </w:rPr>
        <w:t xml:space="preserve">ACFR </w:t>
      </w:r>
      <w:r w:rsidRPr="00DF1525">
        <w:rPr>
          <w:rFonts w:cs="Arial"/>
        </w:rPr>
        <w:t>sections relevant to each provider will be accessible. The sections of the ACFR are:</w:t>
      </w:r>
    </w:p>
    <w:p w14:paraId="3E84FD9B" w14:textId="77777777" w:rsidR="00D3425E" w:rsidRPr="00DF1525" w:rsidRDefault="00D3425E" w:rsidP="00D36C32">
      <w:pPr>
        <w:pStyle w:val="ListParagraph"/>
        <w:numPr>
          <w:ilvl w:val="0"/>
          <w:numId w:val="7"/>
        </w:numPr>
        <w:rPr>
          <w:rFonts w:cs="Arial"/>
        </w:rPr>
      </w:pPr>
      <w:r w:rsidRPr="00DF1525">
        <w:rPr>
          <w:rFonts w:cs="Arial"/>
        </w:rPr>
        <w:t>Approved Provider Operating Segments</w:t>
      </w:r>
    </w:p>
    <w:p w14:paraId="0F01EA58" w14:textId="77777777" w:rsidR="00D3425E" w:rsidRPr="00DF1525" w:rsidRDefault="00D3425E" w:rsidP="00D36C32">
      <w:pPr>
        <w:pStyle w:val="ListParagraph"/>
        <w:numPr>
          <w:ilvl w:val="0"/>
          <w:numId w:val="7"/>
        </w:numPr>
        <w:rPr>
          <w:rFonts w:cs="Arial"/>
        </w:rPr>
      </w:pPr>
      <w:r w:rsidRPr="00DF1525">
        <w:rPr>
          <w:rFonts w:cs="Arial"/>
        </w:rPr>
        <w:t>Home Care Income and Expenses</w:t>
      </w:r>
    </w:p>
    <w:p w14:paraId="5787ECF0" w14:textId="77777777" w:rsidR="00D3425E" w:rsidRPr="00DF1525" w:rsidRDefault="00D3425E" w:rsidP="00D36C32">
      <w:pPr>
        <w:pStyle w:val="ListParagraph"/>
        <w:numPr>
          <w:ilvl w:val="0"/>
          <w:numId w:val="7"/>
        </w:numPr>
        <w:rPr>
          <w:rFonts w:cs="Arial"/>
        </w:rPr>
      </w:pPr>
      <w:r w:rsidRPr="00DF1525">
        <w:rPr>
          <w:rFonts w:cs="Arial"/>
        </w:rPr>
        <w:t>Consolidated Segment Report for Parent Entity</w:t>
      </w:r>
    </w:p>
    <w:p w14:paraId="14998B28" w14:textId="77777777" w:rsidR="00D3425E" w:rsidRPr="00DF1525" w:rsidRDefault="00D3425E" w:rsidP="00D36C32">
      <w:pPr>
        <w:pStyle w:val="ListParagraph"/>
        <w:numPr>
          <w:ilvl w:val="0"/>
          <w:numId w:val="7"/>
        </w:numPr>
        <w:rPr>
          <w:rFonts w:cs="Arial"/>
        </w:rPr>
      </w:pPr>
      <w:r w:rsidRPr="00DF1525">
        <w:rPr>
          <w:rFonts w:cs="Arial"/>
        </w:rPr>
        <w:t>Movement in Approved Provider Financial Assets</w:t>
      </w:r>
    </w:p>
    <w:p w14:paraId="617C3A72" w14:textId="77777777" w:rsidR="00D3425E" w:rsidRPr="00DF1525" w:rsidRDefault="00D3425E" w:rsidP="00D36C32">
      <w:pPr>
        <w:pStyle w:val="ListParagraph"/>
        <w:numPr>
          <w:ilvl w:val="0"/>
          <w:numId w:val="7"/>
        </w:numPr>
        <w:rPr>
          <w:rFonts w:cs="Arial"/>
        </w:rPr>
      </w:pPr>
      <w:r w:rsidRPr="00DF1525">
        <w:rPr>
          <w:rFonts w:cs="Arial"/>
        </w:rPr>
        <w:t>Movement in Approved Provider Loans Receivable</w:t>
      </w:r>
    </w:p>
    <w:p w14:paraId="75DB1B1A" w14:textId="77777777" w:rsidR="00D3425E" w:rsidRPr="00DF1525" w:rsidRDefault="00D3425E" w:rsidP="00D36C32">
      <w:pPr>
        <w:pStyle w:val="ListParagraph"/>
        <w:numPr>
          <w:ilvl w:val="0"/>
          <w:numId w:val="7"/>
        </w:numPr>
        <w:rPr>
          <w:rFonts w:cs="Arial"/>
        </w:rPr>
      </w:pPr>
      <w:r w:rsidRPr="00DF1525">
        <w:rPr>
          <w:rFonts w:cs="Arial"/>
        </w:rPr>
        <w:t>Movement in Approved Provider Non-Current Assets</w:t>
      </w:r>
    </w:p>
    <w:p w14:paraId="71AB9FAA" w14:textId="77777777" w:rsidR="00D3425E" w:rsidRPr="00DF1525" w:rsidRDefault="00D3425E" w:rsidP="00D36C32">
      <w:pPr>
        <w:pStyle w:val="ListParagraph"/>
        <w:numPr>
          <w:ilvl w:val="0"/>
          <w:numId w:val="7"/>
        </w:numPr>
        <w:rPr>
          <w:rFonts w:cs="Arial"/>
        </w:rPr>
      </w:pPr>
      <w:r w:rsidRPr="00DF1525">
        <w:rPr>
          <w:rFonts w:cs="Arial"/>
        </w:rPr>
        <w:t>Movement in Approved Provider Refundable Loans</w:t>
      </w:r>
    </w:p>
    <w:p w14:paraId="60193A43" w14:textId="77777777" w:rsidR="00D3425E" w:rsidRPr="00DF1525" w:rsidRDefault="00D3425E" w:rsidP="00D36C32">
      <w:pPr>
        <w:pStyle w:val="ListParagraph"/>
        <w:numPr>
          <w:ilvl w:val="0"/>
          <w:numId w:val="7"/>
        </w:numPr>
        <w:rPr>
          <w:rFonts w:cs="Arial"/>
        </w:rPr>
      </w:pPr>
      <w:r w:rsidRPr="00DF1525">
        <w:rPr>
          <w:rFonts w:cs="Arial"/>
        </w:rPr>
        <w:t>Movement in Approved Provider Borrowings</w:t>
      </w:r>
    </w:p>
    <w:p w14:paraId="42DCFFC5" w14:textId="77777777" w:rsidR="00D3425E" w:rsidRPr="00DF1525" w:rsidRDefault="00D3425E" w:rsidP="00D36C32">
      <w:pPr>
        <w:pStyle w:val="ListParagraph"/>
        <w:numPr>
          <w:ilvl w:val="0"/>
          <w:numId w:val="7"/>
        </w:numPr>
        <w:rPr>
          <w:rFonts w:cs="Arial"/>
        </w:rPr>
      </w:pPr>
      <w:r w:rsidRPr="00DF1525">
        <w:rPr>
          <w:rFonts w:cs="Arial"/>
        </w:rPr>
        <w:t>Movement in Approved Provider Related Party Loans</w:t>
      </w:r>
    </w:p>
    <w:p w14:paraId="334D03D5" w14:textId="77777777" w:rsidR="00D3425E" w:rsidRPr="00DF1525" w:rsidRDefault="00D3425E" w:rsidP="00D36C32">
      <w:pPr>
        <w:pStyle w:val="ListParagraph"/>
        <w:numPr>
          <w:ilvl w:val="0"/>
          <w:numId w:val="7"/>
        </w:numPr>
        <w:rPr>
          <w:rFonts w:cs="Arial"/>
        </w:rPr>
      </w:pPr>
      <w:r w:rsidRPr="00DF1525">
        <w:rPr>
          <w:rFonts w:cs="Arial"/>
        </w:rPr>
        <w:t>Financial Statements (GPFS)</w:t>
      </w:r>
    </w:p>
    <w:p w14:paraId="2C98BEFF" w14:textId="77777777" w:rsidR="00D3425E" w:rsidRPr="00DF1525" w:rsidRDefault="00D3425E" w:rsidP="00D36C32">
      <w:pPr>
        <w:pStyle w:val="ListParagraph"/>
        <w:numPr>
          <w:ilvl w:val="0"/>
          <w:numId w:val="7"/>
        </w:numPr>
        <w:rPr>
          <w:rFonts w:cs="Arial"/>
        </w:rPr>
      </w:pPr>
      <w:r w:rsidRPr="00DF1525">
        <w:rPr>
          <w:rFonts w:cs="Arial"/>
        </w:rPr>
        <w:t>Approved Provider Income &amp; Expenses</w:t>
      </w:r>
    </w:p>
    <w:p w14:paraId="7AE41473" w14:textId="77777777" w:rsidR="00D3425E" w:rsidRPr="00DF1525" w:rsidRDefault="00D3425E" w:rsidP="00D36C32">
      <w:pPr>
        <w:pStyle w:val="ListParagraph"/>
        <w:numPr>
          <w:ilvl w:val="0"/>
          <w:numId w:val="7"/>
        </w:numPr>
        <w:rPr>
          <w:rFonts w:cs="Arial"/>
        </w:rPr>
      </w:pPr>
      <w:r w:rsidRPr="00DF1525">
        <w:rPr>
          <w:rFonts w:cs="Arial"/>
        </w:rPr>
        <w:t>Approved Provider Balance Sheet</w:t>
      </w:r>
    </w:p>
    <w:p w14:paraId="1AF17B7D" w14:textId="77777777" w:rsidR="00D3425E" w:rsidRPr="00DF1525" w:rsidRDefault="00D3425E" w:rsidP="00D36C32">
      <w:pPr>
        <w:pStyle w:val="ListParagraph"/>
        <w:numPr>
          <w:ilvl w:val="0"/>
          <w:numId w:val="7"/>
        </w:numPr>
        <w:rPr>
          <w:rFonts w:cs="Arial"/>
        </w:rPr>
      </w:pPr>
      <w:r w:rsidRPr="00DF1525">
        <w:rPr>
          <w:rFonts w:cs="Arial"/>
        </w:rPr>
        <w:t>Approved Provider Cash Flow Statement</w:t>
      </w:r>
    </w:p>
    <w:p w14:paraId="3D1B19B1" w14:textId="77777777" w:rsidR="00D3425E" w:rsidRPr="00DF1525" w:rsidRDefault="00D3425E" w:rsidP="00D36C32">
      <w:pPr>
        <w:pStyle w:val="ListParagraph"/>
        <w:numPr>
          <w:ilvl w:val="0"/>
          <w:numId w:val="7"/>
        </w:numPr>
        <w:rPr>
          <w:rFonts w:cs="Arial"/>
        </w:rPr>
      </w:pPr>
      <w:r w:rsidRPr="00DF1525">
        <w:rPr>
          <w:rFonts w:cs="Arial"/>
        </w:rPr>
        <w:t xml:space="preserve">Notes to the Financial Statements </w:t>
      </w:r>
    </w:p>
    <w:p w14:paraId="53B56661" w14:textId="77777777" w:rsidR="00D3425E" w:rsidRPr="00DF1525" w:rsidRDefault="00D3425E" w:rsidP="00D36C32">
      <w:pPr>
        <w:pStyle w:val="ListParagraph"/>
        <w:numPr>
          <w:ilvl w:val="0"/>
          <w:numId w:val="7"/>
        </w:numPr>
        <w:rPr>
          <w:rFonts w:cs="Arial"/>
        </w:rPr>
      </w:pPr>
      <w:r w:rsidRPr="00DF1525">
        <w:rPr>
          <w:rFonts w:cs="Arial"/>
        </w:rPr>
        <w:t>Financial Support Statement</w:t>
      </w:r>
    </w:p>
    <w:p w14:paraId="71257139" w14:textId="77777777" w:rsidR="00D3425E" w:rsidRPr="00DF1525" w:rsidRDefault="00D3425E" w:rsidP="00D36C32">
      <w:pPr>
        <w:pStyle w:val="ListParagraph"/>
        <w:numPr>
          <w:ilvl w:val="0"/>
          <w:numId w:val="7"/>
        </w:numPr>
        <w:rPr>
          <w:rFonts w:cs="Arial"/>
        </w:rPr>
      </w:pPr>
      <w:r w:rsidRPr="00DF1525">
        <w:rPr>
          <w:rFonts w:cs="Arial"/>
        </w:rPr>
        <w:t>Residential Aged Care Income</w:t>
      </w:r>
    </w:p>
    <w:p w14:paraId="44759DAE" w14:textId="77777777" w:rsidR="00D3425E" w:rsidRPr="00DF1525" w:rsidRDefault="00D3425E" w:rsidP="00D36C32">
      <w:pPr>
        <w:pStyle w:val="ListParagraph"/>
        <w:numPr>
          <w:ilvl w:val="0"/>
          <w:numId w:val="7"/>
        </w:numPr>
        <w:rPr>
          <w:rFonts w:cs="Arial"/>
        </w:rPr>
      </w:pPr>
      <w:r w:rsidRPr="00DF1525">
        <w:rPr>
          <w:rFonts w:cs="Arial"/>
        </w:rPr>
        <w:t>Residential Aged Care Expenses</w:t>
      </w:r>
    </w:p>
    <w:p w14:paraId="6F2EED5B" w14:textId="77777777" w:rsidR="00D3425E" w:rsidRPr="00DF1525" w:rsidRDefault="00D3425E" w:rsidP="00D36C32">
      <w:pPr>
        <w:pStyle w:val="ListParagraph"/>
        <w:numPr>
          <w:ilvl w:val="0"/>
          <w:numId w:val="7"/>
        </w:numPr>
        <w:rPr>
          <w:rFonts w:cs="Arial"/>
        </w:rPr>
      </w:pPr>
      <w:r w:rsidRPr="00DF1525">
        <w:rPr>
          <w:rFonts w:cs="Arial"/>
        </w:rPr>
        <w:t>Residential Aged Care Balance Sheet</w:t>
      </w:r>
    </w:p>
    <w:p w14:paraId="7654B165" w14:textId="77777777" w:rsidR="00D3425E" w:rsidRPr="00DF1525" w:rsidRDefault="00D3425E" w:rsidP="00D36C32">
      <w:pPr>
        <w:pStyle w:val="ListParagraph"/>
        <w:numPr>
          <w:ilvl w:val="0"/>
          <w:numId w:val="7"/>
        </w:numPr>
        <w:rPr>
          <w:rFonts w:cs="Arial"/>
        </w:rPr>
      </w:pPr>
      <w:r w:rsidRPr="00DF1525">
        <w:rPr>
          <w:rFonts w:cs="Arial"/>
        </w:rPr>
        <w:t>Short-Term Restorative Care Financials</w:t>
      </w:r>
    </w:p>
    <w:p w14:paraId="2A265AEA" w14:textId="77777777" w:rsidR="00D3425E" w:rsidRPr="00DF1525" w:rsidRDefault="00D3425E" w:rsidP="00D36C32">
      <w:pPr>
        <w:pStyle w:val="ListParagraph"/>
        <w:numPr>
          <w:ilvl w:val="0"/>
          <w:numId w:val="7"/>
        </w:numPr>
        <w:rPr>
          <w:rFonts w:cs="Arial"/>
        </w:rPr>
      </w:pPr>
      <w:r w:rsidRPr="00DF1525">
        <w:rPr>
          <w:rFonts w:cs="Arial"/>
        </w:rPr>
        <w:t>Short-Term Restorative Care Other Information</w:t>
      </w:r>
    </w:p>
    <w:p w14:paraId="1C7A9A27" w14:textId="169C7A9F" w:rsidR="00D3425E" w:rsidRPr="00DF1525" w:rsidRDefault="00D3425E" w:rsidP="00D36C32">
      <w:pPr>
        <w:pStyle w:val="ListParagraph"/>
        <w:numPr>
          <w:ilvl w:val="0"/>
          <w:numId w:val="7"/>
        </w:numPr>
        <w:rPr>
          <w:rFonts w:cs="Arial"/>
        </w:rPr>
      </w:pPr>
      <w:r w:rsidRPr="00DF1525">
        <w:rPr>
          <w:rFonts w:cs="Arial"/>
        </w:rPr>
        <w:t xml:space="preserve">Survey of Aged Care Homes (SACH) - Non-Supported and </w:t>
      </w:r>
      <w:r w:rsidR="00AB5281" w:rsidRPr="00DF1525">
        <w:rPr>
          <w:rFonts w:cs="Arial"/>
        </w:rPr>
        <w:t>Partially Supported</w:t>
      </w:r>
      <w:r w:rsidRPr="00DF1525">
        <w:rPr>
          <w:rFonts w:cs="Arial"/>
        </w:rPr>
        <w:t xml:space="preserve"> Accommodation Payments</w:t>
      </w:r>
    </w:p>
    <w:p w14:paraId="26788729" w14:textId="77777777" w:rsidR="00D3425E" w:rsidRPr="00DF1525" w:rsidRDefault="00D3425E" w:rsidP="00D36C32">
      <w:pPr>
        <w:pStyle w:val="ListParagraph"/>
        <w:numPr>
          <w:ilvl w:val="0"/>
          <w:numId w:val="7"/>
        </w:numPr>
        <w:rPr>
          <w:rFonts w:cs="Arial"/>
        </w:rPr>
      </w:pPr>
      <w:r w:rsidRPr="00DF1525">
        <w:rPr>
          <w:rFonts w:cs="Arial"/>
        </w:rPr>
        <w:t>Annual Prudential Compliance Statement (APCS) – Compliance with Prudential Standards</w:t>
      </w:r>
    </w:p>
    <w:p w14:paraId="78E60430" w14:textId="77777777" w:rsidR="00D3425E" w:rsidRPr="00DF1525" w:rsidRDefault="00D3425E" w:rsidP="00D36C32">
      <w:pPr>
        <w:pStyle w:val="ListParagraph"/>
        <w:numPr>
          <w:ilvl w:val="0"/>
          <w:numId w:val="7"/>
        </w:numPr>
        <w:rPr>
          <w:rFonts w:cs="Arial"/>
        </w:rPr>
      </w:pPr>
      <w:r w:rsidRPr="00DF1525">
        <w:rPr>
          <w:rFonts w:cs="Arial"/>
        </w:rPr>
        <w:t>APCS - Compliance with Refundable Accommodation Payments</w:t>
      </w:r>
    </w:p>
    <w:p w14:paraId="2B3B8C8A" w14:textId="77777777" w:rsidR="00D3425E" w:rsidRPr="00DF1525" w:rsidRDefault="00D3425E" w:rsidP="00D36C32">
      <w:pPr>
        <w:pStyle w:val="ListParagraph"/>
        <w:numPr>
          <w:ilvl w:val="0"/>
          <w:numId w:val="7"/>
        </w:numPr>
        <w:rPr>
          <w:rFonts w:cs="Arial"/>
        </w:rPr>
      </w:pPr>
      <w:r w:rsidRPr="00DF1525">
        <w:rPr>
          <w:rFonts w:cs="Arial"/>
        </w:rPr>
        <w:t xml:space="preserve">APCS - Compliance with the Provision of Other Care and Services Fees </w:t>
      </w:r>
    </w:p>
    <w:p w14:paraId="268B6193" w14:textId="77777777" w:rsidR="00D3425E" w:rsidRPr="00DF1525" w:rsidRDefault="00D3425E" w:rsidP="00D36C32">
      <w:pPr>
        <w:pStyle w:val="ListParagraph"/>
        <w:numPr>
          <w:ilvl w:val="0"/>
          <w:numId w:val="7"/>
        </w:numPr>
        <w:rPr>
          <w:rFonts w:cs="Arial"/>
        </w:rPr>
      </w:pPr>
      <w:r w:rsidRPr="00DF1525">
        <w:rPr>
          <w:rFonts w:cs="Arial"/>
        </w:rPr>
        <w:t>APCS - Compliance with Refunding Responsibilities</w:t>
      </w:r>
    </w:p>
    <w:p w14:paraId="4C2B1D44" w14:textId="77777777" w:rsidR="00D3425E" w:rsidRPr="00DF1525" w:rsidRDefault="00D3425E" w:rsidP="00D36C32">
      <w:pPr>
        <w:pStyle w:val="ListParagraph"/>
        <w:numPr>
          <w:ilvl w:val="0"/>
          <w:numId w:val="7"/>
        </w:numPr>
        <w:rPr>
          <w:rFonts w:cs="Arial"/>
        </w:rPr>
      </w:pPr>
      <w:r w:rsidRPr="00DF1525">
        <w:rPr>
          <w:rFonts w:cs="Arial"/>
        </w:rPr>
        <w:t>APCS - Refundable Deposits, Bonds and Entry Contribution Balances</w:t>
      </w:r>
    </w:p>
    <w:p w14:paraId="2D0EA3E1" w14:textId="77777777" w:rsidR="00D3425E" w:rsidRPr="00DF1525" w:rsidRDefault="00D3425E" w:rsidP="00D36C32">
      <w:pPr>
        <w:pStyle w:val="ListParagraph"/>
        <w:numPr>
          <w:ilvl w:val="0"/>
          <w:numId w:val="7"/>
        </w:numPr>
        <w:rPr>
          <w:rFonts w:cs="Arial"/>
        </w:rPr>
      </w:pPr>
      <w:r w:rsidRPr="00DF1525">
        <w:rPr>
          <w:rFonts w:cs="Arial"/>
        </w:rPr>
        <w:t>APCS - Compliance with Permitted Uses for Accommodation Payments</w:t>
      </w:r>
    </w:p>
    <w:p w14:paraId="25B1B0FA" w14:textId="77777777" w:rsidR="00D3425E" w:rsidRPr="00DF1525" w:rsidRDefault="00D3425E" w:rsidP="00D36C32">
      <w:pPr>
        <w:pStyle w:val="ListParagraph"/>
        <w:numPr>
          <w:ilvl w:val="0"/>
          <w:numId w:val="7"/>
        </w:numPr>
        <w:rPr>
          <w:rFonts w:cs="Arial"/>
        </w:rPr>
      </w:pPr>
      <w:r w:rsidRPr="00DF1525">
        <w:rPr>
          <w:rFonts w:cs="Arial"/>
        </w:rPr>
        <w:t>APCS – Prudential Audit Declaration</w:t>
      </w:r>
    </w:p>
    <w:p w14:paraId="2CDF302D" w14:textId="77777777" w:rsidR="00D3425E" w:rsidRPr="00DF1525" w:rsidRDefault="00D3425E" w:rsidP="00D36C32">
      <w:pPr>
        <w:pStyle w:val="ListParagraph"/>
        <w:numPr>
          <w:ilvl w:val="0"/>
          <w:numId w:val="7"/>
        </w:numPr>
        <w:rPr>
          <w:rFonts w:cs="Arial"/>
        </w:rPr>
      </w:pPr>
      <w:r w:rsidRPr="00DF1525">
        <w:rPr>
          <w:rFonts w:cs="Arial"/>
        </w:rPr>
        <w:t>Approved Provider Permitted Uses Reconciliation</w:t>
      </w:r>
    </w:p>
    <w:p w14:paraId="09480186" w14:textId="77777777" w:rsidR="00D3425E" w:rsidRPr="00DF1525" w:rsidRDefault="00D3425E" w:rsidP="00D36C32">
      <w:pPr>
        <w:pStyle w:val="ListParagraph"/>
        <w:numPr>
          <w:ilvl w:val="0"/>
          <w:numId w:val="7"/>
        </w:numPr>
        <w:rPr>
          <w:rFonts w:cs="Arial"/>
        </w:rPr>
      </w:pPr>
      <w:r w:rsidRPr="00DF1525">
        <w:rPr>
          <w:rFonts w:cs="Arial"/>
        </w:rPr>
        <w:t>SACH Residential Building Activity</w:t>
      </w:r>
    </w:p>
    <w:p w14:paraId="2A6F169F" w14:textId="77777777" w:rsidR="00D3425E" w:rsidRDefault="00D3425E" w:rsidP="00D36C32">
      <w:pPr>
        <w:pStyle w:val="ListParagraph"/>
        <w:numPr>
          <w:ilvl w:val="0"/>
          <w:numId w:val="7"/>
        </w:numPr>
        <w:rPr>
          <w:rFonts w:cs="Arial"/>
        </w:rPr>
      </w:pPr>
      <w:r w:rsidRPr="00DF1525">
        <w:rPr>
          <w:rFonts w:cs="Arial"/>
        </w:rPr>
        <w:t>ACFR Declaration</w:t>
      </w:r>
    </w:p>
    <w:p w14:paraId="02C39A4C" w14:textId="77777777" w:rsidR="00BC0B1A" w:rsidRDefault="00BC0B1A" w:rsidP="00BC0B1A">
      <w:pPr>
        <w:pStyle w:val="ListParagraph"/>
        <w:spacing w:before="0"/>
        <w:ind w:left="360"/>
        <w:rPr>
          <w:rFonts w:cs="Arial"/>
        </w:rPr>
      </w:pPr>
    </w:p>
    <w:p w14:paraId="2503027E" w14:textId="77777777" w:rsidR="00BC0B1A" w:rsidRDefault="00BC0B1A" w:rsidP="00BC0B1A">
      <w:pPr>
        <w:pStyle w:val="ListParagraph"/>
        <w:spacing w:before="0"/>
        <w:ind w:left="360"/>
        <w:rPr>
          <w:rFonts w:cs="Arial"/>
        </w:rPr>
      </w:pPr>
    </w:p>
    <w:p w14:paraId="7F836E0B" w14:textId="77777777" w:rsidR="00BC0B1A" w:rsidRDefault="00BC0B1A" w:rsidP="00BC0B1A">
      <w:pPr>
        <w:pStyle w:val="ListParagraph"/>
        <w:spacing w:before="0"/>
        <w:ind w:left="360"/>
        <w:rPr>
          <w:rFonts w:cs="Arial"/>
        </w:rPr>
      </w:pPr>
    </w:p>
    <w:p w14:paraId="70219DC5" w14:textId="77777777" w:rsidR="00F356DF" w:rsidRDefault="00F356DF" w:rsidP="00F356DF">
      <w:pPr>
        <w:pStyle w:val="ListParagraph"/>
        <w:spacing w:before="0"/>
        <w:ind w:left="360"/>
        <w:rPr>
          <w:rFonts w:cs="Arial"/>
        </w:rPr>
      </w:pPr>
      <w:bookmarkStart w:id="1" w:name="_Toc488160238"/>
    </w:p>
    <w:p w14:paraId="54AE7F7B" w14:textId="77777777" w:rsidR="00F356DF" w:rsidRDefault="00F356DF" w:rsidP="00F356DF">
      <w:pPr>
        <w:pStyle w:val="ListParagraph"/>
        <w:spacing w:before="0"/>
        <w:ind w:left="360"/>
        <w:rPr>
          <w:rFonts w:cs="Arial"/>
        </w:rPr>
      </w:pPr>
    </w:p>
    <w:p w14:paraId="455D87B2" w14:textId="77777777" w:rsidR="00F356DF" w:rsidRDefault="00F356DF" w:rsidP="00F356DF">
      <w:pPr>
        <w:pStyle w:val="ListParagraph"/>
        <w:spacing w:before="0"/>
        <w:ind w:left="360"/>
        <w:rPr>
          <w:rFonts w:cs="Arial"/>
        </w:rPr>
      </w:pPr>
    </w:p>
    <w:p w14:paraId="302B94BA" w14:textId="77777777" w:rsidR="00F356DF" w:rsidRDefault="00F356DF" w:rsidP="00F356DF">
      <w:pPr>
        <w:pStyle w:val="ListParagraph"/>
        <w:spacing w:before="0"/>
        <w:ind w:left="360"/>
        <w:rPr>
          <w:rFonts w:cs="Arial"/>
        </w:rPr>
      </w:pPr>
    </w:p>
    <w:p w14:paraId="12F56DFA" w14:textId="77777777" w:rsidR="00F356DF" w:rsidRPr="00F356DF" w:rsidRDefault="00F356DF" w:rsidP="00F356DF">
      <w:pPr>
        <w:rPr>
          <w:rFonts w:eastAsiaTheme="majorEastAsia"/>
          <w:lang w:val="en-US" w:eastAsia="ja-JP"/>
        </w:rPr>
      </w:pPr>
    </w:p>
    <w:p w14:paraId="6C88D175" w14:textId="13A60ED3" w:rsidR="00D3425E" w:rsidRPr="00401A19" w:rsidRDefault="00997823" w:rsidP="00341487">
      <w:pPr>
        <w:pStyle w:val="Heading2"/>
        <w:rPr>
          <w:color w:val="002060"/>
          <w:sz w:val="28"/>
        </w:rPr>
      </w:pPr>
      <w:r>
        <w:lastRenderedPageBreak/>
        <w:t xml:space="preserve">3.0 </w:t>
      </w:r>
      <w:r w:rsidR="00BC0B1A" w:rsidRPr="00401A19">
        <w:t>C</w:t>
      </w:r>
      <w:r w:rsidR="00D3425E" w:rsidRPr="00401A19">
        <w:t xml:space="preserve">hanges to the </w:t>
      </w:r>
      <w:r w:rsidR="00D3425E" w:rsidRPr="007A2E54">
        <w:t>202</w:t>
      </w:r>
      <w:r w:rsidR="0071615D" w:rsidRPr="007A2E54">
        <w:t>3</w:t>
      </w:r>
      <w:r w:rsidR="00D3425E" w:rsidRPr="007A2E54">
        <w:t>-2</w:t>
      </w:r>
      <w:r w:rsidR="0071615D" w:rsidRPr="007A2E54">
        <w:t>4</w:t>
      </w:r>
      <w:r w:rsidR="00D3425E" w:rsidRPr="00401A19">
        <w:t xml:space="preserve"> ACFR</w:t>
      </w:r>
      <w:r w:rsidR="00D3425E" w:rsidRPr="00401A19">
        <w:rPr>
          <w:color w:val="002060"/>
          <w:sz w:val="28"/>
        </w:rPr>
        <w:t xml:space="preserve"> </w:t>
      </w:r>
    </w:p>
    <w:p w14:paraId="3D0AB519" w14:textId="5BB0A88D" w:rsidR="00700B08" w:rsidRPr="00423C4A" w:rsidRDefault="00700B08" w:rsidP="00423C4A">
      <w:pPr>
        <w:spacing w:before="200" w:after="0"/>
        <w:rPr>
          <w:rFonts w:eastAsiaTheme="majorEastAsia" w:cs="Arial"/>
          <w:b/>
          <w:color w:val="002060"/>
          <w:szCs w:val="22"/>
          <w:lang w:val="en-US" w:eastAsia="ja-JP"/>
        </w:rPr>
      </w:pPr>
      <w:r w:rsidRPr="00341487">
        <w:rPr>
          <w:rFonts w:eastAsiaTheme="majorEastAsia" w:cs="Arial"/>
          <w:b/>
          <w:color w:val="002060"/>
          <w:sz w:val="24"/>
          <w:lang w:val="en-US" w:eastAsia="ja-JP"/>
        </w:rPr>
        <w:t xml:space="preserve">Approved Provider Financial Information </w:t>
      </w:r>
    </w:p>
    <w:p w14:paraId="5ED25FD7" w14:textId="77777777" w:rsidR="00700B08" w:rsidRPr="003E5240" w:rsidRDefault="00700B08" w:rsidP="0075469F">
      <w:pPr>
        <w:pStyle w:val="ListBullet"/>
        <w:spacing w:before="120" w:after="120"/>
        <w:ind w:left="357" w:hanging="357"/>
        <w:rPr>
          <w:b/>
        </w:rPr>
      </w:pPr>
      <w:r w:rsidRPr="003E5240">
        <w:t xml:space="preserve">Updated definition of “Term Deposits” to state that only Term Deposits that are classified as “Financial Assets” in the audited GPFS should be included in the breakdown of Financial Assets (Details) section. </w:t>
      </w:r>
    </w:p>
    <w:p w14:paraId="47B39A30" w14:textId="77777777" w:rsidR="00700B08" w:rsidRPr="00341487" w:rsidRDefault="00700B08" w:rsidP="00423C4A">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GPFS</w:t>
      </w:r>
    </w:p>
    <w:p w14:paraId="502F1088" w14:textId="77777777" w:rsidR="00700B08" w:rsidRPr="00196907" w:rsidRDefault="00700B08" w:rsidP="0075469F">
      <w:pPr>
        <w:pStyle w:val="ListBullet"/>
        <w:spacing w:before="120" w:after="120"/>
        <w:ind w:left="340" w:hanging="340"/>
      </w:pPr>
      <w:r w:rsidRPr="00196907">
        <w:t>There are no changes to the 2023-24 GPFS.</w:t>
      </w:r>
    </w:p>
    <w:p w14:paraId="389A1D3B" w14:textId="77777777" w:rsidR="00700B08" w:rsidRPr="00341487" w:rsidRDefault="00700B08" w:rsidP="00423C4A">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 xml:space="preserve">Residential Aged Care Segment Financial Information </w:t>
      </w:r>
    </w:p>
    <w:p w14:paraId="0B602286" w14:textId="77777777" w:rsidR="00700B08" w:rsidRPr="003E5240" w:rsidRDefault="00700B08" w:rsidP="00843756">
      <w:pPr>
        <w:pStyle w:val="ListBullet"/>
        <w:spacing w:before="120" w:after="120"/>
        <w:ind w:hanging="357"/>
        <w:rPr>
          <w:b/>
        </w:rPr>
      </w:pPr>
      <w:r w:rsidRPr="003E5240">
        <w:t xml:space="preserve">There is a new data item under Hotel Services income to capture the Hotelling Subsidies and Supplement (Commonwealth). </w:t>
      </w:r>
    </w:p>
    <w:p w14:paraId="02192A1A" w14:textId="329907F6" w:rsidR="00700B08" w:rsidRPr="003E5240" w:rsidRDefault="00700B08" w:rsidP="00843756">
      <w:pPr>
        <w:pStyle w:val="ListBullet"/>
        <w:spacing w:before="120" w:after="120"/>
        <w:ind w:hanging="357"/>
        <w:rPr>
          <w:b/>
        </w:rPr>
      </w:pPr>
      <w:r w:rsidRPr="003E5240">
        <w:t>Updates to most definitions in the Residential Care Income to align with the</w:t>
      </w:r>
      <w:r>
        <w:t xml:space="preserve"> </w:t>
      </w:r>
      <w:r w:rsidRPr="003E5240">
        <w:t xml:space="preserve">Australian National Aged Care Classification </w:t>
      </w:r>
      <w:r w:rsidR="00D44D21">
        <w:t>(</w:t>
      </w:r>
      <w:r w:rsidRPr="003E5240">
        <w:t>AN-ACC</w:t>
      </w:r>
      <w:r>
        <w:t>)</w:t>
      </w:r>
      <w:r w:rsidRPr="003E5240">
        <w:t xml:space="preserve"> funding model. </w:t>
      </w:r>
    </w:p>
    <w:p w14:paraId="1A70DC7F" w14:textId="64F74831" w:rsidR="00700B08" w:rsidRPr="003E5240" w:rsidRDefault="00700B08" w:rsidP="00843756">
      <w:pPr>
        <w:pStyle w:val="ListBullet"/>
        <w:spacing w:before="120" w:after="120"/>
        <w:ind w:hanging="357"/>
        <w:rPr>
          <w:b/>
        </w:rPr>
      </w:pPr>
      <w:r w:rsidRPr="003E5240">
        <w:t xml:space="preserve">Outbreak Management Supplements to be included in Care Subsidies and Supplement (Commonwealth) in line with changes to the </w:t>
      </w:r>
      <w:r w:rsidRPr="003E5240">
        <w:rPr>
          <w:bCs/>
        </w:rPr>
        <w:t>Q</w:t>
      </w:r>
      <w:r w:rsidR="00C314DE">
        <w:rPr>
          <w:bCs/>
        </w:rPr>
        <w:t xml:space="preserve">uarterly </w:t>
      </w:r>
      <w:r w:rsidRPr="003E5240">
        <w:rPr>
          <w:bCs/>
        </w:rPr>
        <w:t>F</w:t>
      </w:r>
      <w:r w:rsidR="00C314DE">
        <w:rPr>
          <w:bCs/>
        </w:rPr>
        <w:t xml:space="preserve">inancial </w:t>
      </w:r>
      <w:r w:rsidRPr="003E5240">
        <w:rPr>
          <w:bCs/>
        </w:rPr>
        <w:t>R</w:t>
      </w:r>
      <w:r w:rsidR="00C314DE">
        <w:rPr>
          <w:bCs/>
        </w:rPr>
        <w:t>eport (</w:t>
      </w:r>
      <w:r>
        <w:t>QFR</w:t>
      </w:r>
      <w:r w:rsidR="00C314DE">
        <w:rPr>
          <w:bCs/>
        </w:rPr>
        <w:t>)</w:t>
      </w:r>
      <w:r w:rsidRPr="003E5240">
        <w:rPr>
          <w:bCs/>
        </w:rPr>
        <w:t>.</w:t>
      </w:r>
      <w:r w:rsidRPr="003E5240">
        <w:t xml:space="preserve"> This replaces the current COVID-19 supplement reporting section.</w:t>
      </w:r>
    </w:p>
    <w:p w14:paraId="76C7BEB1" w14:textId="7756F620" w:rsidR="00700B08" w:rsidRPr="00341487" w:rsidRDefault="00700B08" w:rsidP="00843756">
      <w:pPr>
        <w:pStyle w:val="ListBullet"/>
        <w:spacing w:before="120" w:after="120"/>
        <w:ind w:hanging="357"/>
        <w:rPr>
          <w:b/>
        </w:rPr>
      </w:pPr>
      <w:r w:rsidRPr="003E5240">
        <w:t>All direct care worker definitions h</w:t>
      </w:r>
      <w:r w:rsidRPr="008D73BA">
        <w:t xml:space="preserve">ave been updated to match QFR Quarter 4 2023-24 definitions. Changes include: </w:t>
      </w:r>
    </w:p>
    <w:p w14:paraId="395B2600" w14:textId="29A3F655" w:rsidR="008D73BA" w:rsidRPr="00341487" w:rsidRDefault="00700B08" w:rsidP="00843756">
      <w:pPr>
        <w:pStyle w:val="ListParagraph"/>
        <w:numPr>
          <w:ilvl w:val="0"/>
          <w:numId w:val="10"/>
        </w:numPr>
        <w:ind w:right="-181" w:hanging="357"/>
        <w:rPr>
          <w:rFonts w:cs="Arial"/>
          <w:b/>
          <w:color w:val="auto"/>
          <w:szCs w:val="22"/>
        </w:rPr>
      </w:pPr>
      <w:r w:rsidRPr="00341487">
        <w:rPr>
          <w:rFonts w:cs="Arial"/>
          <w:color w:val="auto"/>
          <w:szCs w:val="22"/>
        </w:rPr>
        <w:t xml:space="preserve">Only direct care activities provided by a registered nurse (RN)/ enrolled nurse (EN)/ personal care worker (PCW) on-site (including non-face-to-face care such as </w:t>
      </w:r>
      <w:r w:rsidRPr="00341487">
        <w:rPr>
          <w:rFonts w:eastAsiaTheme="minorEastAsia" w:cs="Arial"/>
          <w:color w:val="auto"/>
          <w:szCs w:val="22"/>
        </w:rPr>
        <w:t>writing up care plans or organising a referral for an allied health service</w:t>
      </w:r>
      <w:r w:rsidRPr="00341487">
        <w:rPr>
          <w:rFonts w:cs="Arial"/>
          <w:color w:val="auto"/>
          <w:szCs w:val="22"/>
        </w:rPr>
        <w:t xml:space="preserve">) can count towards direct care labour costs. </w:t>
      </w:r>
    </w:p>
    <w:p w14:paraId="794A2437" w14:textId="747FA7AC" w:rsidR="008D73BA" w:rsidRPr="00341487" w:rsidRDefault="00700B08" w:rsidP="00843756">
      <w:pPr>
        <w:pStyle w:val="ListParagraph"/>
        <w:numPr>
          <w:ilvl w:val="0"/>
          <w:numId w:val="10"/>
        </w:numPr>
        <w:ind w:right="-181" w:hanging="357"/>
        <w:rPr>
          <w:rFonts w:cs="Arial"/>
          <w:b/>
          <w:color w:val="auto"/>
          <w:szCs w:val="22"/>
        </w:rPr>
      </w:pPr>
      <w:r w:rsidRPr="00341487">
        <w:rPr>
          <w:rFonts w:cs="Arial"/>
          <w:color w:val="auto"/>
          <w:szCs w:val="22"/>
        </w:rPr>
        <w:t xml:space="preserve">Virtual telehealth arrangements and volunteer work </w:t>
      </w:r>
      <w:r w:rsidRPr="00D35286">
        <w:rPr>
          <w:rFonts w:cs="Arial"/>
          <w:bCs/>
          <w:color w:val="auto"/>
          <w:szCs w:val="22"/>
        </w:rPr>
        <w:t>cannot</w:t>
      </w:r>
      <w:r w:rsidRPr="00341487">
        <w:rPr>
          <w:rFonts w:cs="Arial"/>
          <w:color w:val="auto"/>
          <w:szCs w:val="22"/>
        </w:rPr>
        <w:t xml:space="preserve"> contribute towards the RN, EN, PCW direct care costs/hours.</w:t>
      </w:r>
    </w:p>
    <w:p w14:paraId="738CD793" w14:textId="31465278" w:rsidR="008D73BA" w:rsidRPr="00341487" w:rsidRDefault="00700B08" w:rsidP="00843756">
      <w:pPr>
        <w:pStyle w:val="ListParagraph"/>
        <w:numPr>
          <w:ilvl w:val="0"/>
          <w:numId w:val="10"/>
        </w:numPr>
        <w:ind w:right="-181" w:hanging="357"/>
        <w:rPr>
          <w:rFonts w:cs="Arial"/>
          <w:b/>
          <w:color w:val="auto"/>
          <w:szCs w:val="22"/>
        </w:rPr>
      </w:pPr>
      <w:r w:rsidRPr="00341487">
        <w:rPr>
          <w:rFonts w:cs="Arial"/>
          <w:color w:val="auto"/>
          <w:szCs w:val="22"/>
        </w:rPr>
        <w:t xml:space="preserve">For all Allied Health categories (except allied health assistants), support provided through virtual telehealth (such as video conference arrangements can contribute towards the care costs/hours). </w:t>
      </w:r>
    </w:p>
    <w:p w14:paraId="4CF74492" w14:textId="2AB4BE5D" w:rsidR="008D73BA" w:rsidRPr="00341487" w:rsidRDefault="00700B08" w:rsidP="00843756">
      <w:pPr>
        <w:pStyle w:val="ListParagraph"/>
        <w:numPr>
          <w:ilvl w:val="0"/>
          <w:numId w:val="10"/>
        </w:numPr>
        <w:ind w:right="-181" w:hanging="357"/>
        <w:rPr>
          <w:rFonts w:cs="Arial"/>
          <w:b/>
          <w:color w:val="auto"/>
          <w:szCs w:val="22"/>
        </w:rPr>
      </w:pPr>
      <w:r w:rsidRPr="00341487">
        <w:rPr>
          <w:rFonts w:cs="Arial"/>
          <w:color w:val="auto"/>
          <w:szCs w:val="22"/>
        </w:rPr>
        <w:t xml:space="preserve">The Superannuation Guarantee Charge that is imposed for not paying employee superannuation in full and on time should not be included in direct care costs. </w:t>
      </w:r>
    </w:p>
    <w:p w14:paraId="4E368305" w14:textId="77777777" w:rsidR="00700B08" w:rsidRPr="00341487" w:rsidRDefault="00700B08" w:rsidP="00843756">
      <w:pPr>
        <w:pStyle w:val="ListParagraph"/>
        <w:numPr>
          <w:ilvl w:val="0"/>
          <w:numId w:val="10"/>
        </w:numPr>
        <w:ind w:right="-181" w:hanging="357"/>
        <w:rPr>
          <w:rFonts w:cs="Arial"/>
          <w:b/>
          <w:color w:val="auto"/>
          <w:szCs w:val="22"/>
        </w:rPr>
      </w:pPr>
      <w:r w:rsidRPr="00341487">
        <w:rPr>
          <w:rFonts w:cs="Arial"/>
          <w:color w:val="auto"/>
          <w:szCs w:val="22"/>
        </w:rPr>
        <w:t>Worked hours of Registered Undergraduate Students of Nursing can also be reported as PCWs/AINs only in circumstances listed in the definitions.</w:t>
      </w:r>
    </w:p>
    <w:p w14:paraId="1C4D39CD" w14:textId="77777777" w:rsidR="00700B08" w:rsidRPr="003E5240" w:rsidRDefault="00700B08" w:rsidP="00843756">
      <w:pPr>
        <w:pStyle w:val="ListBullet"/>
        <w:spacing w:before="120" w:after="120"/>
        <w:ind w:hanging="357"/>
        <w:rPr>
          <w:b/>
        </w:rPr>
      </w:pPr>
      <w:r w:rsidRPr="003E5240">
        <w:t xml:space="preserve">All hourly wage rate data items have been removed from the ACFR. </w:t>
      </w:r>
    </w:p>
    <w:p w14:paraId="59AF1EED" w14:textId="77777777" w:rsidR="00700B08" w:rsidRPr="003E5240" w:rsidRDefault="00700B08" w:rsidP="00843756">
      <w:pPr>
        <w:pStyle w:val="ListBullet"/>
        <w:spacing w:before="120" w:after="120"/>
        <w:ind w:hanging="357"/>
        <w:rPr>
          <w:b/>
        </w:rPr>
      </w:pPr>
      <w:r w:rsidRPr="003E5240">
        <w:t xml:space="preserve">Definition of occupied bed days have been updated to include days when residents are on leave, for example social leave. However, where a resident is on extended hospital leave for more than 29 days, only the first 28 days of this leave should be reported as part of occupied bed days. </w:t>
      </w:r>
    </w:p>
    <w:p w14:paraId="2E423F71" w14:textId="77777777" w:rsidR="00700B08" w:rsidRPr="003E5240" w:rsidRDefault="00700B08" w:rsidP="00843756">
      <w:pPr>
        <w:pStyle w:val="ListBullet"/>
        <w:spacing w:before="120" w:after="120"/>
        <w:ind w:hanging="357"/>
        <w:rPr>
          <w:b/>
        </w:rPr>
      </w:pPr>
      <w:r w:rsidRPr="003E5240">
        <w:t xml:space="preserve">Most administration expenses definitions have been updated for clarity. </w:t>
      </w:r>
    </w:p>
    <w:p w14:paraId="1B9342E0" w14:textId="76AB5644" w:rsidR="00700B08" w:rsidRPr="00341487" w:rsidRDefault="00700B08" w:rsidP="00843756">
      <w:pPr>
        <w:pStyle w:val="ListBullet"/>
        <w:spacing w:before="120" w:after="120"/>
        <w:ind w:hanging="357"/>
        <w:rPr>
          <w:b/>
        </w:rPr>
      </w:pPr>
      <w:r w:rsidRPr="003E5240">
        <w:t>Definitions for Proportion of Administrative Expenses Allocated to Care, Hotelling and Accommodation with examples on how to determine the allocation percentage.</w:t>
      </w:r>
    </w:p>
    <w:p w14:paraId="36230ACA" w14:textId="77777777" w:rsidR="008D73BA" w:rsidRDefault="008D73BA" w:rsidP="008D73BA">
      <w:pPr>
        <w:pStyle w:val="ListBullet"/>
        <w:numPr>
          <w:ilvl w:val="0"/>
          <w:numId w:val="0"/>
        </w:numPr>
        <w:ind w:left="340" w:hanging="340"/>
      </w:pPr>
    </w:p>
    <w:p w14:paraId="6A902BA3" w14:textId="77777777" w:rsidR="008D73BA" w:rsidRPr="003E5240" w:rsidRDefault="008D73BA" w:rsidP="00341487">
      <w:pPr>
        <w:pStyle w:val="ListBullet"/>
        <w:numPr>
          <w:ilvl w:val="0"/>
          <w:numId w:val="0"/>
        </w:numPr>
        <w:ind w:left="340" w:hanging="340"/>
        <w:rPr>
          <w:b/>
        </w:rPr>
      </w:pPr>
    </w:p>
    <w:p w14:paraId="7B79431E" w14:textId="77777777" w:rsidR="00700B08" w:rsidRPr="00341487" w:rsidRDefault="00700B08" w:rsidP="00EB141F">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Home Care Segment Financial Information</w:t>
      </w:r>
    </w:p>
    <w:p w14:paraId="7610DB7E" w14:textId="77777777" w:rsidR="00700B08" w:rsidRPr="003E5240" w:rsidRDefault="00700B08" w:rsidP="00843756">
      <w:pPr>
        <w:pStyle w:val="ListBullet"/>
        <w:spacing w:before="120" w:after="120"/>
        <w:ind w:left="357" w:hanging="357"/>
        <w:rPr>
          <w:b/>
        </w:rPr>
      </w:pPr>
      <w:r w:rsidRPr="003E5240">
        <w:t xml:space="preserve">Exit amounts deducted from Home Care Income Statement as it can no longer be charged. </w:t>
      </w:r>
    </w:p>
    <w:p w14:paraId="7FC16BE1" w14:textId="77777777" w:rsidR="00700B08" w:rsidRPr="003E5240" w:rsidRDefault="00700B08" w:rsidP="00843756">
      <w:pPr>
        <w:pStyle w:val="ListBullet"/>
        <w:spacing w:before="120" w:after="120"/>
        <w:ind w:left="357" w:hanging="357"/>
        <w:rPr>
          <w:b/>
        </w:rPr>
      </w:pPr>
      <w:r w:rsidRPr="003E5240">
        <w:t xml:space="preserve">All hourly wage rate data items have been removed from the ACFR. </w:t>
      </w:r>
    </w:p>
    <w:p w14:paraId="3A54815D" w14:textId="77777777" w:rsidR="00700B08" w:rsidRPr="003E5240" w:rsidRDefault="00700B08" w:rsidP="00843756">
      <w:pPr>
        <w:pStyle w:val="ListBullet"/>
        <w:spacing w:before="120" w:after="120"/>
        <w:ind w:left="357" w:hanging="357"/>
        <w:rPr>
          <w:b/>
        </w:rPr>
      </w:pPr>
      <w:r w:rsidRPr="003E5240">
        <w:t xml:space="preserve">Definitions for All Employee Care Labour Costs updated to reflect Superannuation Guarantee Charge should not be included in direct care costs. </w:t>
      </w:r>
    </w:p>
    <w:p w14:paraId="56F3928B" w14:textId="77777777" w:rsidR="00700B08" w:rsidRPr="003E5240" w:rsidRDefault="00700B08" w:rsidP="00843756">
      <w:pPr>
        <w:pStyle w:val="ListBullet"/>
        <w:spacing w:before="120" w:after="120"/>
        <w:ind w:left="357" w:hanging="357"/>
        <w:rPr>
          <w:b/>
        </w:rPr>
      </w:pPr>
      <w:r w:rsidRPr="003E5240">
        <w:t xml:space="preserve">Definitions updated in Consolidated Client Statement: Opening Balance and Commonwealth Subsidies and Supplement to clarify that reconciliation includes both the Home Care Account Balance and the Unspent Funds held by the provider. </w:t>
      </w:r>
    </w:p>
    <w:p w14:paraId="45188662" w14:textId="77777777" w:rsidR="00700B08" w:rsidRPr="00341487" w:rsidRDefault="00700B08" w:rsidP="00DB66F6">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Short-Term Restorative Care (STRC) Financial Information</w:t>
      </w:r>
    </w:p>
    <w:p w14:paraId="58E8406E" w14:textId="77777777" w:rsidR="00700B08" w:rsidRPr="00D43069" w:rsidRDefault="00700B08" w:rsidP="00843756">
      <w:pPr>
        <w:pStyle w:val="ListBullet"/>
        <w:spacing w:before="120" w:after="120"/>
        <w:ind w:left="357" w:hanging="357"/>
      </w:pPr>
      <w:r w:rsidRPr="00D43069">
        <w:t>There are no changes to the 2023-24 STRC financial report.</w:t>
      </w:r>
    </w:p>
    <w:p w14:paraId="60FCAC34" w14:textId="77777777" w:rsidR="00700B08" w:rsidRPr="00341487" w:rsidRDefault="00700B08" w:rsidP="00DB66F6">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Annual Prudential Compliance Statement (APCS)</w:t>
      </w:r>
    </w:p>
    <w:p w14:paraId="5867247A" w14:textId="77777777" w:rsidR="00700B08" w:rsidRPr="00997823" w:rsidRDefault="00700B08" w:rsidP="00843756">
      <w:pPr>
        <w:pStyle w:val="ListBullet"/>
        <w:spacing w:before="120" w:after="120"/>
        <w:ind w:left="357" w:hanging="357"/>
      </w:pPr>
      <w:r w:rsidRPr="00997823">
        <w:t>There are no changes to the 2023-24 ACPS financial report.</w:t>
      </w:r>
    </w:p>
    <w:p w14:paraId="07EF3125" w14:textId="19D1023E" w:rsidR="00700B08" w:rsidRPr="00341487" w:rsidRDefault="00700B08" w:rsidP="00DB66F6">
      <w:pPr>
        <w:spacing w:before="200" w:after="0"/>
        <w:rPr>
          <w:rFonts w:eastAsiaTheme="majorEastAsia" w:cs="Arial"/>
          <w:b/>
          <w:color w:val="002060"/>
          <w:sz w:val="24"/>
          <w:lang w:val="en-US" w:eastAsia="ja-JP"/>
        </w:rPr>
      </w:pPr>
      <w:r w:rsidRPr="00341487">
        <w:rPr>
          <w:rFonts w:eastAsiaTheme="majorEastAsia" w:cs="Arial"/>
          <w:b/>
          <w:color w:val="002060"/>
          <w:sz w:val="24"/>
          <w:lang w:val="en-US" w:eastAsia="ja-JP"/>
        </w:rPr>
        <w:t>Survey of Aged Care Homes</w:t>
      </w:r>
    </w:p>
    <w:p w14:paraId="65C28B01" w14:textId="1389AE33" w:rsidR="00997823" w:rsidRDefault="00700B08" w:rsidP="00843756">
      <w:pPr>
        <w:pStyle w:val="ListBullet"/>
        <w:spacing w:before="120" w:after="120"/>
        <w:ind w:left="357" w:hanging="357"/>
      </w:pPr>
      <w:r w:rsidRPr="003E5240">
        <w:t xml:space="preserve">Additional details required when the Agreed Accommodations Price is greater than $550,000. Approvals from IHACPA (Independent Health and Aged Care Pricing Authority) need to be scanned and attached as part of the ACFR submission. </w:t>
      </w:r>
    </w:p>
    <w:p w14:paraId="5AA8A9DF" w14:textId="7DA581BF" w:rsidR="00700B08" w:rsidRPr="008D73BA" w:rsidRDefault="00997823" w:rsidP="00843756">
      <w:pPr>
        <w:pStyle w:val="ListBullet"/>
        <w:spacing w:before="120" w:after="120"/>
        <w:ind w:left="357" w:hanging="357"/>
      </w:pPr>
      <w:r>
        <w:br w:type="page"/>
      </w:r>
    </w:p>
    <w:p w14:paraId="1BE058F0" w14:textId="336B740D" w:rsidR="00D3425E" w:rsidRPr="00F356DF" w:rsidRDefault="00997823" w:rsidP="00341487">
      <w:pPr>
        <w:pStyle w:val="Heading2"/>
        <w:rPr>
          <w:color w:val="002060"/>
        </w:rPr>
      </w:pPr>
      <w:r>
        <w:lastRenderedPageBreak/>
        <w:t xml:space="preserve">4.0 </w:t>
      </w:r>
      <w:r w:rsidR="00D3425E" w:rsidRPr="00F356DF">
        <w:t>Short-Term Restorative Care Financial Reporting</w:t>
      </w:r>
      <w:bookmarkEnd w:id="1"/>
    </w:p>
    <w:p w14:paraId="08C0A058" w14:textId="77777777" w:rsidR="00D3425E" w:rsidRPr="00092CDB" w:rsidRDefault="00D3425E" w:rsidP="00092CDB">
      <w:pPr>
        <w:pStyle w:val="ListBullet"/>
      </w:pPr>
      <w:r w:rsidRPr="00092CDB">
        <w:t xml:space="preserve">Short-Term Restorative Care (STRC) is a type of flexible care under the Aged Care Act 1997 that aims to reverse and/or slow ‘functional decline’ in older people and improve their wellbeing. STRC places were first allocated in February 2017. </w:t>
      </w:r>
    </w:p>
    <w:p w14:paraId="60D40970" w14:textId="77777777" w:rsidR="00D3425E" w:rsidRPr="00092CDB" w:rsidRDefault="00D3425E" w:rsidP="00092CDB">
      <w:pPr>
        <w:pStyle w:val="ListBullet"/>
      </w:pPr>
      <w:r w:rsidRPr="00092CDB">
        <w:t xml:space="preserve">All STRC places were allocated with conditions of allocation requiring the submission of financial reports. This requirement is reflected in Section 35(8) of the Accountability Principles 2014. The ACFR is the approved form through which these obligations are to be met. </w:t>
      </w:r>
    </w:p>
    <w:p w14:paraId="417AF3BD" w14:textId="0C18E36E" w:rsidR="00D3425E" w:rsidRPr="00092CDB" w:rsidRDefault="00700B08" w:rsidP="00092CDB">
      <w:pPr>
        <w:pStyle w:val="ListBullet"/>
      </w:pPr>
      <w:r w:rsidRPr="00092CDB">
        <w:t>STRC provider</w:t>
      </w:r>
      <w:r w:rsidR="000500BB" w:rsidRPr="00092CDB">
        <w:t>s are</w:t>
      </w:r>
      <w:r w:rsidR="00D3425E" w:rsidRPr="00092CDB" w:rsidDel="000500BB">
        <w:t xml:space="preserve"> </w:t>
      </w:r>
      <w:r w:rsidR="00D3425E" w:rsidRPr="00092CDB">
        <w:t xml:space="preserve">required to complete all line items. If </w:t>
      </w:r>
      <w:r w:rsidR="00475827" w:rsidRPr="00092CDB">
        <w:t>a provider</w:t>
      </w:r>
      <w:r w:rsidR="00D3425E" w:rsidRPr="00092CDB">
        <w:t xml:space="preserve"> operate</w:t>
      </w:r>
      <w:r w:rsidR="00475827" w:rsidRPr="00092CDB">
        <w:t>s</w:t>
      </w:r>
      <w:r w:rsidR="00D3425E" w:rsidRPr="00092CDB">
        <w:t xml:space="preserve"> two or more STRC services, </w:t>
      </w:r>
      <w:r w:rsidR="00475827" w:rsidRPr="00092CDB">
        <w:t>their</w:t>
      </w:r>
      <w:r w:rsidR="00D3425E" w:rsidRPr="00092CDB">
        <w:t xml:space="preserve"> ACFR must cover all services in a single report.</w:t>
      </w:r>
    </w:p>
    <w:p w14:paraId="24E582A3" w14:textId="055F58DC" w:rsidR="003A01B6" w:rsidRPr="00092CDB" w:rsidRDefault="00D3425E" w:rsidP="00092CDB">
      <w:pPr>
        <w:pStyle w:val="ListBullet"/>
      </w:pPr>
      <w:r w:rsidRPr="00092CDB">
        <w:t>Please refer to the data definitions before completing the STRC section of the ACFR.</w:t>
      </w:r>
    </w:p>
    <w:p w14:paraId="65944D1E" w14:textId="7B1E6061" w:rsidR="00D3425E" w:rsidRPr="00DF1525" w:rsidRDefault="003A01B6" w:rsidP="00341487">
      <w:pPr>
        <w:spacing w:before="0" w:after="0" w:line="240" w:lineRule="auto"/>
        <w:rPr>
          <w:rFonts w:cs="Arial"/>
        </w:rPr>
      </w:pPr>
      <w:r>
        <w:rPr>
          <w:rFonts w:cs="Arial"/>
        </w:rPr>
        <w:br w:type="page"/>
      </w:r>
    </w:p>
    <w:p w14:paraId="13D16D0D" w14:textId="0C343CF2" w:rsidR="00D3425E" w:rsidRPr="00F356DF" w:rsidRDefault="00997823" w:rsidP="00341487">
      <w:pPr>
        <w:pStyle w:val="Heading2"/>
        <w:rPr>
          <w:color w:val="002060"/>
        </w:rPr>
      </w:pPr>
      <w:bookmarkStart w:id="2" w:name="_Toc488160239"/>
      <w:r>
        <w:lastRenderedPageBreak/>
        <w:t xml:space="preserve">5.0 </w:t>
      </w:r>
      <w:r w:rsidR="00D3425E" w:rsidRPr="00F356DF">
        <w:t>Home Care Financial Reporting</w:t>
      </w:r>
      <w:bookmarkEnd w:id="2"/>
    </w:p>
    <w:p w14:paraId="64514A49" w14:textId="77777777" w:rsidR="00D3425E" w:rsidRPr="00F356DF" w:rsidRDefault="00D3425E" w:rsidP="00DF1525">
      <w:pPr>
        <w:spacing w:before="200" w:after="0"/>
        <w:rPr>
          <w:rFonts w:eastAsiaTheme="majorEastAsia" w:cs="Arial"/>
          <w:b/>
          <w:bCs/>
          <w:color w:val="002060"/>
          <w:szCs w:val="22"/>
          <w:lang w:val="en-US" w:eastAsia="ja-JP"/>
        </w:rPr>
      </w:pPr>
      <w:r w:rsidRPr="00341487">
        <w:rPr>
          <w:rFonts w:eastAsiaTheme="majorEastAsia" w:cs="Arial"/>
          <w:b/>
          <w:bCs/>
          <w:color w:val="002060"/>
          <w:sz w:val="24"/>
          <w:lang w:val="en-US" w:eastAsia="ja-JP"/>
        </w:rPr>
        <w:t>Home Care Financial Report</w:t>
      </w:r>
    </w:p>
    <w:p w14:paraId="1D9BC610" w14:textId="2A3E6CD6" w:rsidR="00D3425E" w:rsidRPr="008769C8" w:rsidRDefault="00D3425E" w:rsidP="004F5360">
      <w:pPr>
        <w:pStyle w:val="ListBullet"/>
        <w:spacing w:before="120" w:after="120"/>
        <w:ind w:left="357" w:hanging="357"/>
        <w:rPr>
          <w:lang w:val="en-US"/>
        </w:rPr>
      </w:pPr>
      <w:r w:rsidRPr="008769C8">
        <w:rPr>
          <w:lang w:val="en-US"/>
        </w:rPr>
        <w:t xml:space="preserve">The Home Care Financial Report (HCFR) is to be completed at </w:t>
      </w:r>
      <w:r w:rsidR="00422ED2" w:rsidRPr="008769C8">
        <w:rPr>
          <w:lang w:val="en-US"/>
        </w:rPr>
        <w:t xml:space="preserve">the </w:t>
      </w:r>
      <w:r w:rsidR="00700B08" w:rsidRPr="008769C8">
        <w:rPr>
          <w:lang w:val="en-US"/>
        </w:rPr>
        <w:t>p</w:t>
      </w:r>
      <w:r w:rsidRPr="008769C8">
        <w:rPr>
          <w:lang w:val="en-US"/>
        </w:rPr>
        <w:t xml:space="preserve">lanning </w:t>
      </w:r>
      <w:r w:rsidR="00700B08" w:rsidRPr="008769C8">
        <w:rPr>
          <w:lang w:val="en-US"/>
        </w:rPr>
        <w:t>r</w:t>
      </w:r>
      <w:r w:rsidRPr="008769C8">
        <w:rPr>
          <w:lang w:val="en-US"/>
        </w:rPr>
        <w:t xml:space="preserve">egion level, with a home care service defined as an approved provider’s home care operation within an aged care planning region. While some providers will have their </w:t>
      </w:r>
      <w:r w:rsidR="00700B08" w:rsidRPr="008769C8">
        <w:rPr>
          <w:lang w:val="en-US"/>
        </w:rPr>
        <w:t xml:space="preserve">home care Service IDs (Service IDs) </w:t>
      </w:r>
      <w:r w:rsidRPr="008769C8">
        <w:rPr>
          <w:lang w:val="en-US"/>
        </w:rPr>
        <w:t xml:space="preserve">at the planning region level, others will have their Service IDs at the package level (i.e. Level 2 packages). Where </w:t>
      </w:r>
      <w:r w:rsidR="00700B08" w:rsidRPr="008769C8">
        <w:rPr>
          <w:lang w:val="en-US"/>
        </w:rPr>
        <w:t>S</w:t>
      </w:r>
      <w:r w:rsidRPr="008769C8">
        <w:rPr>
          <w:lang w:val="en-US"/>
        </w:rPr>
        <w:t xml:space="preserve">ervice IDs are at the package level, providers may be required to aggregate their financial information </w:t>
      </w:r>
      <w:proofErr w:type="gramStart"/>
      <w:r w:rsidRPr="008769C8">
        <w:rPr>
          <w:lang w:val="en-US"/>
        </w:rPr>
        <w:t>in order to</w:t>
      </w:r>
      <w:proofErr w:type="gramEnd"/>
      <w:r w:rsidRPr="008769C8">
        <w:rPr>
          <w:lang w:val="en-US"/>
        </w:rPr>
        <w:t xml:space="preserve"> complete the </w:t>
      </w:r>
      <w:r w:rsidR="00181601" w:rsidRPr="008769C8">
        <w:rPr>
          <w:lang w:val="en-US"/>
        </w:rPr>
        <w:t>HCFR</w:t>
      </w:r>
      <w:r w:rsidRPr="008769C8">
        <w:rPr>
          <w:lang w:val="en-US"/>
        </w:rPr>
        <w:t xml:space="preserve">. </w:t>
      </w:r>
    </w:p>
    <w:p w14:paraId="7C0A0ABB" w14:textId="52BBE756" w:rsidR="00D3425E" w:rsidRPr="008769C8" w:rsidRDefault="00D3425E" w:rsidP="004F5360">
      <w:pPr>
        <w:pStyle w:val="ListBullet"/>
        <w:spacing w:before="120" w:after="120"/>
        <w:ind w:left="357" w:hanging="357"/>
        <w:rPr>
          <w:lang w:val="en-US"/>
        </w:rPr>
      </w:pPr>
      <w:r w:rsidRPr="008769C8">
        <w:rPr>
          <w:lang w:val="en-US"/>
        </w:rPr>
        <w:t xml:space="preserve">To assist providers, the </w:t>
      </w:r>
      <w:r w:rsidR="00700B08" w:rsidRPr="008769C8">
        <w:rPr>
          <w:lang w:val="en-US"/>
        </w:rPr>
        <w:t>HCFR</w:t>
      </w:r>
      <w:r w:rsidRPr="008769C8" w:rsidDel="00700B08">
        <w:rPr>
          <w:lang w:val="en-US"/>
        </w:rPr>
        <w:t xml:space="preserve"> </w:t>
      </w:r>
      <w:r w:rsidRPr="008769C8">
        <w:rPr>
          <w:lang w:val="en-US"/>
        </w:rPr>
        <w:t xml:space="preserve">will list the Service ID (or IDs) that constitute services included in each planning region for the purposes of completing their report. </w:t>
      </w:r>
    </w:p>
    <w:p w14:paraId="284AAD9C" w14:textId="0516DE9E" w:rsidR="00D3425E" w:rsidRPr="008769C8" w:rsidRDefault="00D3425E" w:rsidP="004F5360">
      <w:pPr>
        <w:pStyle w:val="ListBullet"/>
        <w:spacing w:before="120" w:after="120"/>
        <w:ind w:left="357" w:hanging="357"/>
        <w:rPr>
          <w:lang w:val="en-US"/>
        </w:rPr>
      </w:pPr>
      <w:r w:rsidRPr="008769C8">
        <w:rPr>
          <w:lang w:val="en-US"/>
        </w:rPr>
        <w:t xml:space="preserve">Wherever possible expenses should be completed at the planning region level, however in recognition that some expenses may not be allocated to a particular service (i.e. head office costs), the </w:t>
      </w:r>
      <w:r w:rsidR="00364D1E" w:rsidRPr="008769C8">
        <w:rPr>
          <w:lang w:val="en-US"/>
        </w:rPr>
        <w:t>HCFR</w:t>
      </w:r>
      <w:r w:rsidRPr="008769C8">
        <w:rPr>
          <w:lang w:val="en-US"/>
        </w:rPr>
        <w:t xml:space="preserve"> allows for these costs to be recorded in the </w:t>
      </w:r>
      <w:r w:rsidR="00EE3ED4" w:rsidRPr="008769C8">
        <w:rPr>
          <w:lang w:val="en-US"/>
        </w:rPr>
        <w:t>c</w:t>
      </w:r>
      <w:r w:rsidRPr="008769C8">
        <w:rPr>
          <w:lang w:val="en-US"/>
        </w:rPr>
        <w:t xml:space="preserve">entrally </w:t>
      </w:r>
      <w:r w:rsidR="00EE3ED4" w:rsidRPr="008769C8">
        <w:rPr>
          <w:lang w:val="en-US"/>
        </w:rPr>
        <w:t>h</w:t>
      </w:r>
      <w:r w:rsidRPr="008769C8">
        <w:rPr>
          <w:lang w:val="en-US"/>
        </w:rPr>
        <w:t xml:space="preserve">eld or </w:t>
      </w:r>
      <w:r w:rsidR="00EE3ED4" w:rsidRPr="008769C8">
        <w:rPr>
          <w:lang w:val="en-US"/>
        </w:rPr>
        <w:t>c</w:t>
      </w:r>
      <w:r w:rsidRPr="008769C8">
        <w:rPr>
          <w:lang w:val="en-US"/>
        </w:rPr>
        <w:t xml:space="preserve">orporate </w:t>
      </w:r>
      <w:r w:rsidR="00EE3ED4" w:rsidRPr="008769C8">
        <w:rPr>
          <w:lang w:val="en-US"/>
        </w:rPr>
        <w:t>i</w:t>
      </w:r>
      <w:r w:rsidRPr="008769C8">
        <w:rPr>
          <w:lang w:val="en-US"/>
        </w:rPr>
        <w:t xml:space="preserve">tems data section. </w:t>
      </w:r>
    </w:p>
    <w:p w14:paraId="53F2EEF2" w14:textId="6B3BE51B" w:rsidR="00D3425E" w:rsidRPr="008769C8" w:rsidRDefault="00BD46F5" w:rsidP="004F5360">
      <w:pPr>
        <w:pStyle w:val="ListBullet"/>
        <w:spacing w:before="120" w:after="120"/>
        <w:ind w:left="357" w:hanging="357"/>
        <w:rPr>
          <w:lang w:val="en-US"/>
        </w:rPr>
      </w:pPr>
      <w:r w:rsidRPr="008769C8">
        <w:rPr>
          <w:lang w:val="en-US"/>
        </w:rPr>
        <w:t>Providers</w:t>
      </w:r>
      <w:r w:rsidR="00D3425E" w:rsidRPr="008769C8">
        <w:rPr>
          <w:lang w:val="en-US"/>
        </w:rPr>
        <w:t xml:space="preserve"> should not include financial information from other aged care operations such as residential care or </w:t>
      </w:r>
      <w:r w:rsidR="00952BB6">
        <w:rPr>
          <w:lang w:val="en-US"/>
        </w:rPr>
        <w:t>C</w:t>
      </w:r>
      <w:r w:rsidR="00D3425E" w:rsidRPr="008769C8">
        <w:rPr>
          <w:lang w:val="en-US"/>
        </w:rPr>
        <w:t xml:space="preserve">ommonwealth </w:t>
      </w:r>
      <w:r w:rsidR="00952BB6">
        <w:rPr>
          <w:lang w:val="en-US"/>
        </w:rPr>
        <w:t>H</w:t>
      </w:r>
      <w:r w:rsidR="00D3425E" w:rsidRPr="008769C8">
        <w:rPr>
          <w:lang w:val="en-US"/>
        </w:rPr>
        <w:t xml:space="preserve">ome </w:t>
      </w:r>
      <w:r w:rsidR="00952BB6">
        <w:rPr>
          <w:lang w:val="en-US"/>
        </w:rPr>
        <w:t>S</w:t>
      </w:r>
      <w:r w:rsidR="00D3425E" w:rsidRPr="008769C8">
        <w:rPr>
          <w:lang w:val="en-US"/>
        </w:rPr>
        <w:t xml:space="preserve">upport </w:t>
      </w:r>
      <w:proofErr w:type="spellStart"/>
      <w:r w:rsidR="00952BB6">
        <w:rPr>
          <w:lang w:val="en-US"/>
        </w:rPr>
        <w:t>P</w:t>
      </w:r>
      <w:r w:rsidR="00EE3ED4" w:rsidRPr="008769C8">
        <w:rPr>
          <w:lang w:val="en-US"/>
        </w:rPr>
        <w:t>rogram</w:t>
      </w:r>
      <w:r w:rsidR="004F5360">
        <w:rPr>
          <w:lang w:val="en-US"/>
        </w:rPr>
        <w:t>me</w:t>
      </w:r>
      <w:proofErr w:type="spellEnd"/>
      <w:r w:rsidR="00EE3ED4" w:rsidRPr="008769C8">
        <w:rPr>
          <w:lang w:val="en-US"/>
        </w:rPr>
        <w:t xml:space="preserve"> </w:t>
      </w:r>
      <w:r w:rsidR="00D3425E" w:rsidRPr="008769C8">
        <w:rPr>
          <w:lang w:val="en-US"/>
        </w:rPr>
        <w:t>(CHSP) services or any non-aged care services (e.g. disability services) within the HCFR.</w:t>
      </w:r>
    </w:p>
    <w:p w14:paraId="29C59960" w14:textId="77777777" w:rsidR="00D3425E" w:rsidRPr="008769C8" w:rsidRDefault="00D3425E" w:rsidP="004F5360">
      <w:pPr>
        <w:pStyle w:val="ListBullet"/>
        <w:spacing w:before="120" w:after="120"/>
        <w:ind w:left="357" w:hanging="357"/>
        <w:rPr>
          <w:lang w:val="en-US"/>
        </w:rPr>
      </w:pPr>
      <w:r w:rsidRPr="008769C8">
        <w:rPr>
          <w:lang w:val="en-US"/>
        </w:rPr>
        <w:t>Please refer to the data definitions before completing the home care section of the ACFR.</w:t>
      </w:r>
    </w:p>
    <w:p w14:paraId="1C99BB17" w14:textId="437F4709" w:rsidR="00D3425E" w:rsidRPr="00341487" w:rsidRDefault="00D3425E" w:rsidP="00DF1525">
      <w:pPr>
        <w:spacing w:before="200" w:after="0"/>
        <w:rPr>
          <w:rFonts w:cs="Arial"/>
          <w:b/>
          <w:bCs/>
          <w:iCs/>
          <w:color w:val="358189"/>
          <w:sz w:val="24"/>
        </w:rPr>
      </w:pPr>
      <w:r w:rsidRPr="00341487">
        <w:rPr>
          <w:rFonts w:cs="Arial"/>
          <w:b/>
          <w:bCs/>
          <w:iCs/>
          <w:color w:val="002060"/>
          <w:sz w:val="24"/>
        </w:rPr>
        <w:t xml:space="preserve">Government </w:t>
      </w:r>
      <w:r w:rsidR="00406D48" w:rsidRPr="00341487">
        <w:rPr>
          <w:rFonts w:cs="Arial"/>
          <w:b/>
          <w:bCs/>
          <w:iCs/>
          <w:color w:val="002060"/>
          <w:sz w:val="24"/>
        </w:rPr>
        <w:t>p</w:t>
      </w:r>
      <w:r w:rsidRPr="00341487">
        <w:rPr>
          <w:rFonts w:cs="Arial"/>
          <w:b/>
          <w:bCs/>
          <w:iCs/>
          <w:color w:val="002060"/>
          <w:sz w:val="24"/>
        </w:rPr>
        <w:t xml:space="preserve">roviders </w:t>
      </w:r>
    </w:p>
    <w:p w14:paraId="50AB1235" w14:textId="2AA57B93" w:rsidR="00D3425E" w:rsidRPr="0007538C" w:rsidRDefault="00D3425E" w:rsidP="004F5360">
      <w:pPr>
        <w:pStyle w:val="ListBullet"/>
        <w:spacing w:before="120" w:after="120"/>
        <w:ind w:left="357" w:hanging="357"/>
        <w:rPr>
          <w:lang w:val="en-US"/>
        </w:rPr>
      </w:pPr>
      <w:r w:rsidRPr="0007538C">
        <w:rPr>
          <w:lang w:val="en-US"/>
        </w:rPr>
        <w:t xml:space="preserve">If </w:t>
      </w:r>
      <w:r w:rsidR="00AF3BA4">
        <w:rPr>
          <w:lang w:val="en-US"/>
        </w:rPr>
        <w:t>an</w:t>
      </w:r>
      <w:r w:rsidRPr="0007538C">
        <w:rPr>
          <w:lang w:val="en-US"/>
        </w:rPr>
        <w:t xml:space="preserve"> </w:t>
      </w:r>
      <w:proofErr w:type="spellStart"/>
      <w:r w:rsidRPr="0007538C">
        <w:rPr>
          <w:lang w:val="en-US"/>
        </w:rPr>
        <w:t>organisation</w:t>
      </w:r>
      <w:proofErr w:type="spellEnd"/>
      <w:r w:rsidRPr="0007538C">
        <w:rPr>
          <w:lang w:val="en-US"/>
        </w:rPr>
        <w:t xml:space="preserve"> is an approved provider of home care and is also: a state or territory government, an authority of a state or territory or a local government authority then </w:t>
      </w:r>
      <w:r w:rsidR="008209CE">
        <w:rPr>
          <w:lang w:val="en-US"/>
        </w:rPr>
        <w:t>they</w:t>
      </w:r>
      <w:r w:rsidRPr="0007538C">
        <w:rPr>
          <w:lang w:val="en-US"/>
        </w:rPr>
        <w:t xml:space="preserve"> are not required to complete the mandatory approved provider line items contained in the ACFR.</w:t>
      </w:r>
    </w:p>
    <w:p w14:paraId="4DE66594" w14:textId="02149A38" w:rsidR="00D3425E" w:rsidRPr="00DF1525" w:rsidRDefault="00D3425E" w:rsidP="004F5360">
      <w:pPr>
        <w:pStyle w:val="ListBullet"/>
        <w:spacing w:before="120" w:after="120"/>
        <w:ind w:left="357" w:hanging="357"/>
      </w:pPr>
      <w:r w:rsidRPr="0007538C">
        <w:rPr>
          <w:lang w:val="en-US"/>
        </w:rPr>
        <w:t xml:space="preserve">All government home care providers must complete and submit the </w:t>
      </w:r>
      <w:r w:rsidR="00D11731">
        <w:rPr>
          <w:lang w:val="en-US"/>
        </w:rPr>
        <w:t>HCFR</w:t>
      </w:r>
      <w:r w:rsidRPr="0007538C">
        <w:rPr>
          <w:lang w:val="en-US"/>
        </w:rPr>
        <w:t xml:space="preserve"> covering </w:t>
      </w:r>
      <w:proofErr w:type="gramStart"/>
      <w:r w:rsidRPr="0007538C">
        <w:rPr>
          <w:lang w:val="en-US"/>
        </w:rPr>
        <w:t>all of</w:t>
      </w:r>
      <w:proofErr w:type="gramEnd"/>
      <w:r w:rsidRPr="0007538C">
        <w:rPr>
          <w:lang w:val="en-US"/>
        </w:rPr>
        <w:t xml:space="preserve"> their home care services. The</w:t>
      </w:r>
      <w:r w:rsidR="00700B08">
        <w:rPr>
          <w:lang w:val="en-US"/>
        </w:rPr>
        <w:t xml:space="preserve"> HCFR </w:t>
      </w:r>
      <w:r w:rsidRPr="0007538C">
        <w:rPr>
          <w:lang w:val="en-US"/>
        </w:rPr>
        <w:t xml:space="preserve">must be in the </w:t>
      </w:r>
      <w:r w:rsidRPr="00DF1525">
        <w:rPr>
          <w:lang w:val="en-US"/>
        </w:rPr>
        <w:t xml:space="preserve">mandatory ACFR format and include all the line items outlined. </w:t>
      </w:r>
    </w:p>
    <w:p w14:paraId="1AD3AEF1" w14:textId="77777777" w:rsidR="00D3425E" w:rsidRPr="00341487" w:rsidRDefault="00D3425E" w:rsidP="00DF1525">
      <w:pPr>
        <w:spacing w:before="200" w:after="0"/>
        <w:rPr>
          <w:rFonts w:eastAsiaTheme="majorEastAsia" w:cs="Arial"/>
          <w:b/>
          <w:bCs/>
          <w:color w:val="3F4A75" w:themeColor="accent1"/>
          <w:sz w:val="24"/>
        </w:rPr>
      </w:pPr>
      <w:r w:rsidRPr="00341487">
        <w:rPr>
          <w:rFonts w:cs="Arial"/>
          <w:b/>
          <w:bCs/>
          <w:iCs/>
          <w:color w:val="002060"/>
          <w:sz w:val="24"/>
        </w:rPr>
        <w:t>Segment reporting and mandatory</w:t>
      </w:r>
      <w:r w:rsidRPr="00341487">
        <w:rPr>
          <w:rFonts w:eastAsiaTheme="majorEastAsia" w:cs="Arial"/>
          <w:b/>
          <w:bCs/>
          <w:color w:val="002060"/>
          <w:sz w:val="24"/>
        </w:rPr>
        <w:t xml:space="preserve"> </w:t>
      </w:r>
      <w:r w:rsidRPr="00341487">
        <w:rPr>
          <w:rFonts w:cs="Arial"/>
          <w:b/>
          <w:bCs/>
          <w:iCs/>
          <w:color w:val="002060"/>
          <w:sz w:val="24"/>
        </w:rPr>
        <w:t xml:space="preserve">information </w:t>
      </w:r>
      <w:r w:rsidRPr="00341487">
        <w:rPr>
          <w:rFonts w:eastAsiaTheme="majorEastAsia" w:cs="Arial"/>
          <w:b/>
          <w:bCs/>
          <w:color w:val="002060"/>
          <w:sz w:val="24"/>
        </w:rPr>
        <w:t xml:space="preserve"> </w:t>
      </w:r>
    </w:p>
    <w:p w14:paraId="45EB14AA" w14:textId="2A94D971" w:rsidR="00D3425E" w:rsidRPr="00DF1525" w:rsidRDefault="00D3425E" w:rsidP="004F5360">
      <w:pPr>
        <w:pStyle w:val="ListBullet"/>
        <w:spacing w:before="120" w:after="120"/>
        <w:ind w:left="357" w:hanging="357"/>
        <w:rPr>
          <w:b/>
          <w:lang w:val="en-US"/>
        </w:rPr>
      </w:pPr>
      <w:r w:rsidRPr="00DF1525">
        <w:rPr>
          <w:lang w:val="en-US"/>
        </w:rPr>
        <w:t>The ACFR includes mandatory line items in the Income Statement, Balance Sheet and Cash Flow Statement at the approved provider level and mandatory line items for the H</w:t>
      </w:r>
      <w:r w:rsidR="00406D48">
        <w:rPr>
          <w:lang w:val="en-US"/>
        </w:rPr>
        <w:t xml:space="preserve">CFR. </w:t>
      </w:r>
    </w:p>
    <w:p w14:paraId="07C1F993" w14:textId="622639A2" w:rsidR="00D3425E" w:rsidRPr="00F356DF" w:rsidRDefault="00D3425E" w:rsidP="008F7F90">
      <w:pPr>
        <w:spacing w:before="200" w:after="0"/>
        <w:rPr>
          <w:rFonts w:eastAsiaTheme="majorEastAsia" w:cs="Arial"/>
          <w:b/>
          <w:bCs/>
          <w:color w:val="002060"/>
          <w:szCs w:val="22"/>
        </w:rPr>
      </w:pPr>
      <w:r w:rsidRPr="00F356DF">
        <w:rPr>
          <w:rFonts w:cs="Arial"/>
          <w:b/>
          <w:bCs/>
          <w:iCs/>
          <w:color w:val="002060"/>
          <w:szCs w:val="22"/>
        </w:rPr>
        <w:t xml:space="preserve">Approved </w:t>
      </w:r>
      <w:r w:rsidR="00406D48">
        <w:rPr>
          <w:rFonts w:cs="Arial"/>
          <w:b/>
          <w:bCs/>
          <w:iCs/>
          <w:color w:val="002060"/>
          <w:szCs w:val="22"/>
        </w:rPr>
        <w:t>p</w:t>
      </w:r>
      <w:r w:rsidRPr="00F356DF">
        <w:rPr>
          <w:rFonts w:cs="Arial"/>
          <w:b/>
          <w:bCs/>
          <w:iCs/>
          <w:color w:val="002060"/>
          <w:szCs w:val="22"/>
        </w:rPr>
        <w:t>rovider sections of the ACFR</w:t>
      </w:r>
      <w:r w:rsidRPr="00F356DF">
        <w:rPr>
          <w:rFonts w:eastAsiaTheme="majorEastAsia" w:cs="Arial"/>
          <w:b/>
          <w:bCs/>
          <w:color w:val="002060"/>
          <w:szCs w:val="22"/>
        </w:rPr>
        <w:t xml:space="preserve">  </w:t>
      </w:r>
    </w:p>
    <w:p w14:paraId="37902B75" w14:textId="77777777" w:rsidR="00D3425E" w:rsidRDefault="00D3425E" w:rsidP="004F5360">
      <w:pPr>
        <w:pStyle w:val="ListBullet"/>
        <w:spacing w:before="120" w:after="120"/>
        <w:ind w:left="357" w:hanging="357"/>
        <w:rPr>
          <w:lang w:val="en-US"/>
        </w:rPr>
      </w:pPr>
      <w:r w:rsidRPr="0007538C">
        <w:rPr>
          <w:lang w:val="en-US"/>
        </w:rPr>
        <w:t xml:space="preserve">When completing the approved provider sections within the ACFR, the data entered should include information for both the provider’s home care and non-home care operations. </w:t>
      </w:r>
    </w:p>
    <w:p w14:paraId="7D18F574" w14:textId="77777777" w:rsidR="003A01B6" w:rsidRDefault="003A01B6" w:rsidP="003A01B6">
      <w:pPr>
        <w:pStyle w:val="ListBullet"/>
        <w:numPr>
          <w:ilvl w:val="0"/>
          <w:numId w:val="0"/>
        </w:numPr>
        <w:ind w:left="340" w:hanging="340"/>
        <w:rPr>
          <w:lang w:val="en-US"/>
        </w:rPr>
      </w:pPr>
    </w:p>
    <w:p w14:paraId="0372999F" w14:textId="77777777" w:rsidR="003A01B6" w:rsidRDefault="003A01B6" w:rsidP="003A01B6">
      <w:pPr>
        <w:pStyle w:val="ListBullet"/>
        <w:numPr>
          <w:ilvl w:val="0"/>
          <w:numId w:val="0"/>
        </w:numPr>
        <w:ind w:left="340" w:hanging="340"/>
        <w:rPr>
          <w:lang w:val="en-US"/>
        </w:rPr>
      </w:pPr>
    </w:p>
    <w:p w14:paraId="32A2AB07" w14:textId="77777777" w:rsidR="003A01B6" w:rsidRDefault="003A01B6" w:rsidP="003A01B6">
      <w:pPr>
        <w:pStyle w:val="ListBullet"/>
        <w:numPr>
          <w:ilvl w:val="0"/>
          <w:numId w:val="0"/>
        </w:numPr>
        <w:ind w:left="340" w:hanging="340"/>
        <w:rPr>
          <w:lang w:val="en-US"/>
        </w:rPr>
      </w:pPr>
    </w:p>
    <w:p w14:paraId="68DD0571" w14:textId="77777777" w:rsidR="003A01B6" w:rsidRPr="0007538C" w:rsidRDefault="003A01B6" w:rsidP="00341487">
      <w:pPr>
        <w:pStyle w:val="ListBullet"/>
        <w:numPr>
          <w:ilvl w:val="0"/>
          <w:numId w:val="0"/>
        </w:numPr>
        <w:ind w:left="340" w:hanging="340"/>
        <w:rPr>
          <w:lang w:val="en-US"/>
        </w:rPr>
      </w:pPr>
    </w:p>
    <w:p w14:paraId="30E0040B" w14:textId="19862ED9" w:rsidR="00D3425E" w:rsidRPr="00F356DF" w:rsidRDefault="008D73BA" w:rsidP="00341487">
      <w:pPr>
        <w:pStyle w:val="Heading2"/>
        <w:rPr>
          <w:color w:val="002060"/>
        </w:rPr>
      </w:pPr>
      <w:bookmarkStart w:id="3" w:name="_Toc488160240"/>
      <w:r>
        <w:t xml:space="preserve">6.0 </w:t>
      </w:r>
      <w:r w:rsidR="00D3425E" w:rsidRPr="00F356DF">
        <w:t>Residential Aged Care Financial Reporting</w:t>
      </w:r>
      <w:bookmarkEnd w:id="3"/>
    </w:p>
    <w:p w14:paraId="1D07D9FD" w14:textId="78AB2789" w:rsidR="00D3425E" w:rsidRPr="00341487" w:rsidRDefault="00D3425E" w:rsidP="0085011B">
      <w:pPr>
        <w:spacing w:before="200" w:after="0"/>
        <w:rPr>
          <w:rFonts w:cs="Arial"/>
          <w:b/>
          <w:bCs/>
          <w:iCs/>
          <w:color w:val="002060"/>
          <w:sz w:val="24"/>
        </w:rPr>
      </w:pPr>
      <w:bookmarkStart w:id="4" w:name="_Toc488160241"/>
      <w:bookmarkStart w:id="5" w:name="_Hlk81406297"/>
      <w:r w:rsidRPr="00341487">
        <w:rPr>
          <w:rFonts w:cs="Arial"/>
          <w:b/>
          <w:bCs/>
          <w:iCs/>
          <w:color w:val="002060"/>
          <w:sz w:val="24"/>
        </w:rPr>
        <w:t>General Purpose Financial Statement (GPFS)</w:t>
      </w:r>
      <w:bookmarkEnd w:id="4"/>
    </w:p>
    <w:p w14:paraId="51427708" w14:textId="3F04C6D1" w:rsidR="00D3425E" w:rsidRPr="00DF1525" w:rsidRDefault="008209CE" w:rsidP="004F5360">
      <w:pPr>
        <w:pStyle w:val="ListBullet"/>
        <w:spacing w:before="120" w:after="120"/>
        <w:ind w:left="357" w:hanging="357"/>
      </w:pPr>
      <w:r>
        <w:t>Providers</w:t>
      </w:r>
      <w:r w:rsidR="00D3425E" w:rsidRPr="00DF1525">
        <w:t xml:space="preserve"> must prepare a GPFS within the meaning given by section 6 of the </w:t>
      </w:r>
      <w:r w:rsidR="00D3425E" w:rsidRPr="00DF1525">
        <w:rPr>
          <w:i/>
        </w:rPr>
        <w:t>Statement of Accounting Concepts SAC 1 ‘Definition of the Reporting Entity’</w:t>
      </w:r>
      <w:r w:rsidR="00D3425E" w:rsidRPr="00DF1525">
        <w:t>.</w:t>
      </w:r>
    </w:p>
    <w:p w14:paraId="7DDD499D" w14:textId="33B31EA2" w:rsidR="00D3425E" w:rsidRPr="00DF1525" w:rsidRDefault="00D3425E" w:rsidP="004F5360">
      <w:pPr>
        <w:pStyle w:val="ListBullet"/>
        <w:spacing w:before="120" w:after="120"/>
        <w:ind w:left="357" w:hanging="357"/>
      </w:pPr>
      <w:r w:rsidRPr="00DF1525">
        <w:t>The first note of the GPFS</w:t>
      </w:r>
      <w:r w:rsidRPr="00331CA3">
        <w:rPr>
          <w:bCs/>
        </w:rPr>
        <w:t xml:space="preserve"> </w:t>
      </w:r>
      <w:r w:rsidRPr="0013229E">
        <w:t>must</w:t>
      </w:r>
      <w:r w:rsidRPr="00331CA3">
        <w:rPr>
          <w:bCs/>
        </w:rPr>
        <w:t xml:space="preserve"> </w:t>
      </w:r>
      <w:r w:rsidRPr="00DF1525">
        <w:t xml:space="preserve">specify that it is a </w:t>
      </w:r>
      <w:r w:rsidRPr="00DF1525" w:rsidDel="00331CA3">
        <w:t>GPFS</w:t>
      </w:r>
      <w:r w:rsidR="00331CA3" w:rsidRPr="00DF1525">
        <w:t>,</w:t>
      </w:r>
      <w:r w:rsidRPr="00DF1525">
        <w:t xml:space="preserve"> and the auditor is to confirm that it is a GPFS that has been audited.</w:t>
      </w:r>
    </w:p>
    <w:p w14:paraId="2D5E18D4" w14:textId="77777777" w:rsidR="00D3425E" w:rsidRPr="00DF1525" w:rsidRDefault="00D3425E" w:rsidP="004F5360">
      <w:pPr>
        <w:pStyle w:val="ListBullet"/>
        <w:spacing w:before="120" w:after="120"/>
        <w:ind w:left="357" w:hanging="357"/>
      </w:pPr>
      <w:r w:rsidRPr="00DF1525">
        <w:t>All GPFSs are required by the accounting standards to include a statement of financial position, statement of comprehensive income, statement of changes in equity, statement of cash flows, and notes, comprising a summary of significant accounting policies and other explanatory information. They are also required to disclose comparative information in respect of the previous period – that is, to disclose as a minimum two years of each of the statements and related notes.</w:t>
      </w:r>
    </w:p>
    <w:bookmarkEnd w:id="5"/>
    <w:p w14:paraId="0DEB3C2F" w14:textId="77777777" w:rsidR="00D3425E" w:rsidRPr="00DF1525" w:rsidRDefault="00D3425E" w:rsidP="004F5360">
      <w:pPr>
        <w:pStyle w:val="ListBullet"/>
        <w:spacing w:before="120" w:after="120"/>
        <w:ind w:left="357" w:hanging="357"/>
      </w:pPr>
      <w:r w:rsidRPr="00DF1525">
        <w:t>The GPFS must be in accordance with the applicable accounting standards and give a true and fair view of the financial position and performance of the entity.</w:t>
      </w:r>
    </w:p>
    <w:p w14:paraId="14708F46" w14:textId="77777777" w:rsidR="00D3425E" w:rsidRPr="00DF1525" w:rsidRDefault="00D3425E" w:rsidP="004F5360">
      <w:pPr>
        <w:pStyle w:val="ListBullet"/>
        <w:spacing w:before="120" w:after="120"/>
        <w:ind w:left="357" w:hanging="357"/>
      </w:pPr>
      <w:r w:rsidRPr="00DF1525">
        <w:t>A Special Purpose Financial Report is</w:t>
      </w:r>
      <w:r w:rsidRPr="005423ED">
        <w:rPr>
          <w:bCs/>
        </w:rPr>
        <w:t xml:space="preserve"> not</w:t>
      </w:r>
      <w:r w:rsidRPr="00DF1525">
        <w:t xml:space="preserve"> acceptable.</w:t>
      </w:r>
    </w:p>
    <w:p w14:paraId="3D352CBF" w14:textId="77777777" w:rsidR="00D3425E" w:rsidRPr="00DF1525" w:rsidRDefault="00D3425E" w:rsidP="004F5360">
      <w:pPr>
        <w:pStyle w:val="ListBullet"/>
        <w:spacing w:before="120" w:after="120"/>
        <w:ind w:left="357" w:hanging="357"/>
      </w:pPr>
      <w:r w:rsidRPr="00DF1525">
        <w:t>The GPFS and audit report must be signed and dated.</w:t>
      </w:r>
    </w:p>
    <w:p w14:paraId="3C027DB1" w14:textId="77777777" w:rsidR="00D3425E" w:rsidRPr="00DF1525" w:rsidRDefault="00D3425E" w:rsidP="004F5360">
      <w:pPr>
        <w:pStyle w:val="ListBullet"/>
        <w:spacing w:before="120" w:after="120"/>
        <w:ind w:left="357" w:hanging="357"/>
      </w:pPr>
      <w:r w:rsidRPr="00DF1525">
        <w:t>Approved providers are to apply AASB 8 (operating segments) if relevant.</w:t>
      </w:r>
    </w:p>
    <w:p w14:paraId="469CD521" w14:textId="16E416CE" w:rsidR="00D3425E" w:rsidRPr="00DF1525" w:rsidRDefault="00D3425E" w:rsidP="004F5360">
      <w:pPr>
        <w:pStyle w:val="ListBullet"/>
        <w:spacing w:before="120" w:after="120"/>
        <w:ind w:left="357" w:hanging="357"/>
      </w:pPr>
      <w:r w:rsidRPr="00DF1525">
        <w:t xml:space="preserve">Each GPFS should be clearly marked with the </w:t>
      </w:r>
      <w:r w:rsidR="00C24F8B">
        <w:t xml:space="preserve">Government Provider Management System </w:t>
      </w:r>
      <w:r w:rsidR="009D552E">
        <w:t>number</w:t>
      </w:r>
      <w:r w:rsidRPr="00DF1525">
        <w:t xml:space="preserve"> or Residential Aged Care Service (RACS) identification number it relates </w:t>
      </w:r>
      <w:r w:rsidR="005B6E28" w:rsidRPr="00DF1525">
        <w:t>to and</w:t>
      </w:r>
      <w:r w:rsidRPr="00DF1525">
        <w:t xml:space="preserve"> include an Australian Business Number (ABN).</w:t>
      </w:r>
    </w:p>
    <w:p w14:paraId="09A92710" w14:textId="29C57253" w:rsidR="00D3425E" w:rsidRPr="00DF1525" w:rsidRDefault="00D3425E" w:rsidP="004F5360">
      <w:pPr>
        <w:pStyle w:val="ListBullet"/>
        <w:spacing w:before="120" w:after="120"/>
        <w:ind w:left="357" w:hanging="357"/>
        <w:rPr>
          <w:color w:val="auto"/>
          <w:lang w:val="en-US"/>
        </w:rPr>
      </w:pPr>
      <w:r w:rsidRPr="00DF1525">
        <w:rPr>
          <w:color w:val="auto"/>
          <w:lang w:val="en-US"/>
        </w:rPr>
        <w:t xml:space="preserve">It is important that </w:t>
      </w:r>
      <w:r w:rsidR="004A209C">
        <w:rPr>
          <w:color w:val="auto"/>
          <w:lang w:val="en-US"/>
        </w:rPr>
        <w:t>providers</w:t>
      </w:r>
      <w:r w:rsidRPr="00DF1525">
        <w:rPr>
          <w:color w:val="auto"/>
          <w:lang w:val="en-US"/>
        </w:rPr>
        <w:t xml:space="preserve"> and auditor</w:t>
      </w:r>
      <w:r w:rsidR="004A209C">
        <w:rPr>
          <w:color w:val="auto"/>
          <w:lang w:val="en-US"/>
        </w:rPr>
        <w:t>s</w:t>
      </w:r>
      <w:r w:rsidRPr="00DF1525">
        <w:rPr>
          <w:color w:val="auto"/>
          <w:lang w:val="en-US"/>
        </w:rPr>
        <w:t xml:space="preserve"> become familiar with the financial reporting requirements before </w:t>
      </w:r>
      <w:r w:rsidR="004A209C">
        <w:rPr>
          <w:color w:val="auto"/>
          <w:lang w:val="en-US"/>
        </w:rPr>
        <w:t>providers</w:t>
      </w:r>
      <w:r w:rsidRPr="00DF1525">
        <w:rPr>
          <w:color w:val="auto"/>
          <w:lang w:val="en-US"/>
        </w:rPr>
        <w:t xml:space="preserve"> lodge </w:t>
      </w:r>
      <w:r w:rsidR="004A209C">
        <w:rPr>
          <w:color w:val="auto"/>
          <w:lang w:val="en-US"/>
        </w:rPr>
        <w:t>their</w:t>
      </w:r>
      <w:r w:rsidRPr="00DF1525">
        <w:rPr>
          <w:color w:val="auto"/>
          <w:lang w:val="en-US"/>
        </w:rPr>
        <w:t xml:space="preserve"> GPFS and audit opinion.</w:t>
      </w:r>
    </w:p>
    <w:p w14:paraId="394C3CA5" w14:textId="12C361B4" w:rsidR="00D3425E" w:rsidRPr="00DF1525" w:rsidRDefault="00D3425E" w:rsidP="004F5360">
      <w:pPr>
        <w:pStyle w:val="ListBullet"/>
        <w:spacing w:before="120" w:after="120"/>
        <w:ind w:left="357" w:hanging="357"/>
        <w:rPr>
          <w:b/>
          <w:color w:val="auto"/>
          <w:lang w:val="en-US"/>
        </w:rPr>
      </w:pPr>
      <w:r w:rsidRPr="00DF1525">
        <w:rPr>
          <w:color w:val="auto"/>
          <w:lang w:val="en-US"/>
        </w:rPr>
        <w:t xml:space="preserve">All GPFS and accompanying audit reports must be uploaded through the ACFR portal via </w:t>
      </w:r>
      <w:hyperlink r:id="rId19" w:history="1">
        <w:r w:rsidR="00E83D14" w:rsidRPr="002B0865">
          <w:rPr>
            <w:rStyle w:val="Hyperlink"/>
          </w:rPr>
          <w:t>Forms Admin</w:t>
        </w:r>
      </w:hyperlink>
      <w:r w:rsidR="00E83D14">
        <w:t xml:space="preserve"> using</w:t>
      </w:r>
      <w:r w:rsidRPr="00DF1525">
        <w:t xml:space="preserve"> </w:t>
      </w:r>
      <w:r w:rsidR="00B34B1A">
        <w:t>a</w:t>
      </w:r>
      <w:r w:rsidRPr="00DF1525">
        <w:t xml:space="preserve"> </w:t>
      </w:r>
      <w:proofErr w:type="spellStart"/>
      <w:r w:rsidRPr="00DF1525">
        <w:t>myID</w:t>
      </w:r>
      <w:proofErr w:type="spellEnd"/>
      <w:r w:rsidRPr="00DF1525">
        <w:t xml:space="preserve"> login.</w:t>
      </w:r>
    </w:p>
    <w:p w14:paraId="3CBF69BF" w14:textId="4BC5A9C4" w:rsidR="00D3425E" w:rsidRPr="00341487" w:rsidRDefault="00D3425E" w:rsidP="0085011B">
      <w:pPr>
        <w:spacing w:before="200" w:after="0"/>
        <w:rPr>
          <w:rFonts w:cs="Arial"/>
          <w:b/>
          <w:bCs/>
          <w:iCs/>
          <w:color w:val="002060"/>
          <w:sz w:val="24"/>
        </w:rPr>
      </w:pPr>
      <w:bookmarkStart w:id="6" w:name="_Toc488160242"/>
      <w:r w:rsidRPr="00341487">
        <w:rPr>
          <w:rFonts w:cs="Arial"/>
          <w:b/>
          <w:bCs/>
          <w:iCs/>
          <w:color w:val="002060"/>
          <w:sz w:val="24"/>
        </w:rPr>
        <w:t xml:space="preserve">Report at either </w:t>
      </w:r>
      <w:r w:rsidR="00406D48" w:rsidRPr="00341487">
        <w:rPr>
          <w:rFonts w:cs="Arial"/>
          <w:b/>
          <w:bCs/>
          <w:iCs/>
          <w:color w:val="002060"/>
          <w:sz w:val="24"/>
        </w:rPr>
        <w:t>p</w:t>
      </w:r>
      <w:r w:rsidRPr="00341487">
        <w:rPr>
          <w:rFonts w:cs="Arial"/>
          <w:b/>
          <w:bCs/>
          <w:iCs/>
          <w:color w:val="002060"/>
          <w:sz w:val="24"/>
        </w:rPr>
        <w:t xml:space="preserve">rovider </w:t>
      </w:r>
      <w:r w:rsidR="00406D48" w:rsidRPr="00341487">
        <w:rPr>
          <w:rFonts w:cs="Arial"/>
          <w:b/>
          <w:bCs/>
          <w:iCs/>
          <w:color w:val="002060"/>
          <w:sz w:val="24"/>
        </w:rPr>
        <w:t>l</w:t>
      </w:r>
      <w:r w:rsidRPr="00341487">
        <w:rPr>
          <w:rFonts w:cs="Arial"/>
          <w:b/>
          <w:bCs/>
          <w:iCs/>
          <w:color w:val="002060"/>
          <w:sz w:val="24"/>
        </w:rPr>
        <w:t xml:space="preserve">evel or </w:t>
      </w:r>
      <w:bookmarkEnd w:id="6"/>
      <w:r w:rsidR="00406D48" w:rsidRPr="00341487">
        <w:rPr>
          <w:rFonts w:cs="Arial"/>
          <w:b/>
          <w:bCs/>
          <w:iCs/>
          <w:color w:val="002060"/>
          <w:sz w:val="24"/>
        </w:rPr>
        <w:t>s</w:t>
      </w:r>
      <w:r w:rsidRPr="00341487">
        <w:rPr>
          <w:rFonts w:cs="Arial"/>
          <w:b/>
          <w:bCs/>
          <w:iCs/>
          <w:color w:val="002060"/>
          <w:sz w:val="24"/>
        </w:rPr>
        <w:t xml:space="preserve">ervice </w:t>
      </w:r>
      <w:r w:rsidR="00406D48" w:rsidRPr="00341487">
        <w:rPr>
          <w:rFonts w:cs="Arial"/>
          <w:b/>
          <w:bCs/>
          <w:iCs/>
          <w:color w:val="002060"/>
          <w:sz w:val="24"/>
        </w:rPr>
        <w:t>l</w:t>
      </w:r>
      <w:r w:rsidRPr="00341487">
        <w:rPr>
          <w:rFonts w:cs="Arial"/>
          <w:b/>
          <w:bCs/>
          <w:iCs/>
          <w:color w:val="002060"/>
          <w:sz w:val="24"/>
        </w:rPr>
        <w:t>evel</w:t>
      </w:r>
    </w:p>
    <w:p w14:paraId="0C3F04A4" w14:textId="77777777" w:rsidR="009F1CA6" w:rsidRPr="009F1CA6" w:rsidRDefault="00D3425E" w:rsidP="004F5360">
      <w:pPr>
        <w:pStyle w:val="ListBullet"/>
        <w:spacing w:before="120" w:after="120"/>
        <w:ind w:left="357" w:hanging="357"/>
        <w:rPr>
          <w:bCs/>
        </w:rPr>
      </w:pPr>
      <w:r w:rsidRPr="00DF1525">
        <w:t xml:space="preserve">Reporting at the provider level means the provision of one audited GPFS covering </w:t>
      </w:r>
      <w:proofErr w:type="gramStart"/>
      <w:r w:rsidRPr="00DF1525">
        <w:t>all of</w:t>
      </w:r>
      <w:proofErr w:type="gramEnd"/>
      <w:r w:rsidRPr="00DF1525">
        <w:t xml:space="preserve"> residential aged care services and all other activities</w:t>
      </w:r>
      <w:r w:rsidR="009F1CA6">
        <w:t xml:space="preserve">. </w:t>
      </w:r>
    </w:p>
    <w:p w14:paraId="4F537D4A" w14:textId="77777777" w:rsidR="009F1CA6" w:rsidRPr="009F1CA6" w:rsidRDefault="00D3425E" w:rsidP="004F5360">
      <w:pPr>
        <w:pStyle w:val="ListBullet"/>
        <w:spacing w:before="120" w:after="120"/>
        <w:ind w:left="357" w:hanging="357"/>
        <w:rPr>
          <w:rFonts w:cs="Arial"/>
        </w:rPr>
      </w:pPr>
      <w:r w:rsidRPr="00377967">
        <w:t>Providing one audited GPFS that covers more than one approved provider is not acceptable.</w:t>
      </w:r>
      <w:r w:rsidRPr="009F1CA6">
        <w:rPr>
          <w:bCs/>
        </w:rPr>
        <w:t xml:space="preserve"> Reports submitted that are anything other than approved provider or service level will result in compliance action.</w:t>
      </w:r>
      <w:r w:rsidR="009F1CA6" w:rsidRPr="009F1CA6">
        <w:rPr>
          <w:bCs/>
        </w:rPr>
        <w:t xml:space="preserve"> </w:t>
      </w:r>
    </w:p>
    <w:p w14:paraId="6F052007" w14:textId="5E71D05E" w:rsidR="007A2E54" w:rsidRDefault="00D3425E" w:rsidP="004F5360">
      <w:pPr>
        <w:pStyle w:val="ListBullet"/>
        <w:spacing w:before="120" w:after="120"/>
        <w:ind w:left="357" w:hanging="357"/>
        <w:rPr>
          <w:rFonts w:cs="Arial"/>
        </w:rPr>
      </w:pPr>
      <w:r w:rsidRPr="009F1CA6">
        <w:rPr>
          <w:rFonts w:cs="Arial"/>
        </w:rPr>
        <w:t>Reporting at the service level means the provision of separate audited GPFSs for each residential aged care service or group of services (in any combination, but each service must be reported only once). The ACFR online portal will allow multiple service level GPFSs to be uploaded.</w:t>
      </w:r>
      <w:bookmarkStart w:id="7" w:name="_Toc488160244"/>
    </w:p>
    <w:p w14:paraId="5BCE78C4" w14:textId="77777777" w:rsidR="00BA0B59" w:rsidRDefault="00BA0B59" w:rsidP="00BA0B59">
      <w:pPr>
        <w:pStyle w:val="ListBullet"/>
        <w:numPr>
          <w:ilvl w:val="0"/>
          <w:numId w:val="0"/>
        </w:numPr>
        <w:spacing w:before="120" w:after="120"/>
        <w:ind w:left="357"/>
        <w:rPr>
          <w:rFonts w:cs="Arial"/>
        </w:rPr>
      </w:pPr>
    </w:p>
    <w:p w14:paraId="1B647D08" w14:textId="77777777" w:rsidR="00BA0B59" w:rsidRPr="009F1CA6" w:rsidRDefault="00BA0B59" w:rsidP="00BA0B59">
      <w:pPr>
        <w:pStyle w:val="ListBullet"/>
        <w:numPr>
          <w:ilvl w:val="0"/>
          <w:numId w:val="0"/>
        </w:numPr>
        <w:spacing w:before="120" w:after="120"/>
        <w:ind w:left="357"/>
        <w:rPr>
          <w:rFonts w:cs="Arial"/>
        </w:rPr>
      </w:pPr>
    </w:p>
    <w:p w14:paraId="1B4C2136" w14:textId="6CDCD5DB" w:rsidR="00D3425E" w:rsidRPr="00341487" w:rsidRDefault="00D3425E" w:rsidP="0085011B">
      <w:pPr>
        <w:spacing w:before="200" w:after="0"/>
        <w:rPr>
          <w:rFonts w:cs="Arial"/>
          <w:b/>
          <w:bCs/>
          <w:iCs/>
          <w:color w:val="002060"/>
          <w:sz w:val="24"/>
        </w:rPr>
      </w:pPr>
      <w:r w:rsidRPr="00341487">
        <w:rPr>
          <w:rFonts w:cs="Arial"/>
          <w:b/>
          <w:bCs/>
          <w:iCs/>
          <w:color w:val="002060"/>
          <w:sz w:val="24"/>
        </w:rPr>
        <w:lastRenderedPageBreak/>
        <w:t>GPFS audited by a Registered Company Auditor</w:t>
      </w:r>
      <w:bookmarkEnd w:id="7"/>
    </w:p>
    <w:p w14:paraId="52A2E7C9" w14:textId="4B5C1503" w:rsidR="00D3425E" w:rsidRPr="00DF1525" w:rsidRDefault="00D45FE8" w:rsidP="004F5360">
      <w:pPr>
        <w:pStyle w:val="ListBullet"/>
        <w:spacing w:before="120" w:after="120"/>
        <w:ind w:left="357" w:hanging="357"/>
      </w:pPr>
      <w:r>
        <w:t>Providers</w:t>
      </w:r>
      <w:r w:rsidR="00D3425E" w:rsidRPr="00DF1525">
        <w:t xml:space="preserve"> must have </w:t>
      </w:r>
      <w:r>
        <w:t>their</w:t>
      </w:r>
      <w:r w:rsidR="00D3425E" w:rsidRPr="00DF1525">
        <w:t xml:space="preserve"> GPFS audited by a Registered Company Auditor (RCA). Section 1281 of the </w:t>
      </w:r>
      <w:r w:rsidR="00D3425E" w:rsidRPr="00DF1525">
        <w:rPr>
          <w:i/>
        </w:rPr>
        <w:t>Corporations Act 2001</w:t>
      </w:r>
      <w:r w:rsidR="00D3425E" w:rsidRPr="00DF1525">
        <w:t xml:space="preserve"> (</w:t>
      </w:r>
      <w:proofErr w:type="spellStart"/>
      <w:r w:rsidR="00D3425E" w:rsidRPr="00DF1525">
        <w:t>Cth</w:t>
      </w:r>
      <w:proofErr w:type="spellEnd"/>
      <w:r w:rsidR="00D3425E" w:rsidRPr="00DF1525">
        <w:t>) provides that the Auditor-General of the Commonwealth, a state or a territory is taken to be a</w:t>
      </w:r>
      <w:r w:rsidR="0047313F">
        <w:t xml:space="preserve">n </w:t>
      </w:r>
      <w:r w:rsidR="00D3425E" w:rsidRPr="00DF1525">
        <w:t xml:space="preserve">RCA. It is </w:t>
      </w:r>
      <w:r w:rsidR="00BE5C40">
        <w:t>a provider’s</w:t>
      </w:r>
      <w:r w:rsidR="00D3425E" w:rsidRPr="00DF1525">
        <w:t xml:space="preserve"> responsibility to ensure that </w:t>
      </w:r>
      <w:r w:rsidR="00BE5C40">
        <w:t>their</w:t>
      </w:r>
      <w:r w:rsidR="00D3425E" w:rsidRPr="00DF1525">
        <w:t xml:space="preserve"> auditor is a</w:t>
      </w:r>
      <w:r w:rsidR="0047313F">
        <w:t>n</w:t>
      </w:r>
      <w:r w:rsidR="00D3425E" w:rsidRPr="00DF1525">
        <w:t xml:space="preserve"> RCA. One method of checking this is to perform a search on the </w:t>
      </w:r>
      <w:hyperlink r:id="rId20" w:history="1">
        <w:r w:rsidR="00D3425E" w:rsidRPr="002B0865">
          <w:rPr>
            <w:rStyle w:val="Hyperlink"/>
          </w:rPr>
          <w:t>Australian Securities and Investment Commission’s website</w:t>
        </w:r>
      </w:hyperlink>
      <w:r w:rsidR="002B0865">
        <w:t xml:space="preserve"> </w:t>
      </w:r>
      <w:r w:rsidR="00D3425E" w:rsidRPr="00DF1525">
        <w:t>and click on ‘Professional registers’ (far right and top of screen).</w:t>
      </w:r>
      <w:r w:rsidR="00D3425E" w:rsidRPr="00DF1525">
        <w:rPr>
          <w:b/>
        </w:rPr>
        <w:t xml:space="preserve"> </w:t>
      </w:r>
      <w:r w:rsidR="00D3425E" w:rsidRPr="00DF1525">
        <w:t xml:space="preserve">Company auditors will need to comply with all applicable auditor independence requirements in the </w:t>
      </w:r>
      <w:r w:rsidR="00D3425E" w:rsidRPr="00DF1525">
        <w:rPr>
          <w:i/>
        </w:rPr>
        <w:t>Corporations Act 2001</w:t>
      </w:r>
      <w:r w:rsidR="00D3425E" w:rsidRPr="00DF1525">
        <w:t>.</w:t>
      </w:r>
    </w:p>
    <w:p w14:paraId="4EA2FBAF" w14:textId="659FE0E3" w:rsidR="00D3425E" w:rsidRPr="00341487" w:rsidRDefault="00D3425E" w:rsidP="0085011B">
      <w:pPr>
        <w:spacing w:before="200" w:after="0"/>
        <w:rPr>
          <w:rFonts w:cs="Arial"/>
          <w:b/>
          <w:bCs/>
          <w:iCs/>
          <w:color w:val="002060"/>
          <w:sz w:val="24"/>
        </w:rPr>
      </w:pPr>
      <w:r w:rsidRPr="00341487">
        <w:rPr>
          <w:rFonts w:cs="Arial"/>
          <w:b/>
          <w:bCs/>
          <w:iCs/>
          <w:color w:val="002060"/>
          <w:sz w:val="24"/>
        </w:rPr>
        <w:t xml:space="preserve">Audit </w:t>
      </w:r>
      <w:r w:rsidR="00406D48" w:rsidRPr="00341487">
        <w:rPr>
          <w:rFonts w:cs="Arial"/>
          <w:b/>
          <w:bCs/>
          <w:iCs/>
          <w:color w:val="002060"/>
          <w:sz w:val="24"/>
        </w:rPr>
        <w:t>r</w:t>
      </w:r>
      <w:r w:rsidRPr="00341487">
        <w:rPr>
          <w:rFonts w:cs="Arial"/>
          <w:b/>
          <w:bCs/>
          <w:iCs/>
          <w:color w:val="002060"/>
          <w:sz w:val="24"/>
        </w:rPr>
        <w:t xml:space="preserve">equirements and </w:t>
      </w:r>
      <w:r w:rsidR="00406D48" w:rsidRPr="00341487">
        <w:rPr>
          <w:rFonts w:cs="Arial"/>
          <w:b/>
          <w:bCs/>
          <w:iCs/>
          <w:color w:val="002060"/>
          <w:sz w:val="24"/>
        </w:rPr>
        <w:t>a</w:t>
      </w:r>
      <w:r w:rsidRPr="00341487">
        <w:rPr>
          <w:rFonts w:cs="Arial"/>
          <w:b/>
          <w:bCs/>
          <w:iCs/>
          <w:color w:val="002060"/>
          <w:sz w:val="24"/>
        </w:rPr>
        <w:t xml:space="preserve">lternative </w:t>
      </w:r>
      <w:r w:rsidR="00406D48" w:rsidRPr="00341487">
        <w:rPr>
          <w:rFonts w:cs="Arial"/>
          <w:b/>
          <w:bCs/>
          <w:iCs/>
          <w:color w:val="002060"/>
          <w:sz w:val="24"/>
        </w:rPr>
        <w:t>a</w:t>
      </w:r>
      <w:r w:rsidRPr="00341487">
        <w:rPr>
          <w:rFonts w:cs="Arial"/>
          <w:b/>
          <w:bCs/>
          <w:iCs/>
          <w:color w:val="002060"/>
          <w:sz w:val="24"/>
        </w:rPr>
        <w:t xml:space="preserve">uditor </w:t>
      </w:r>
    </w:p>
    <w:p w14:paraId="5D9E5777" w14:textId="2462765A" w:rsidR="00D3425E" w:rsidRPr="00DF1525" w:rsidRDefault="00D3425E" w:rsidP="004F5360">
      <w:pPr>
        <w:pStyle w:val="ListBullet"/>
        <w:spacing w:before="120" w:after="120"/>
        <w:ind w:left="357" w:hanging="357"/>
      </w:pPr>
      <w:r w:rsidRPr="00DF1525">
        <w:t>The only exception to a GPFS and APCS being audited by a</w:t>
      </w:r>
      <w:r w:rsidR="0047313F">
        <w:t>n</w:t>
      </w:r>
      <w:r w:rsidRPr="00DF1525">
        <w:t xml:space="preserve"> RCA is where approval has been given for an alternative auditor. </w:t>
      </w:r>
    </w:p>
    <w:p w14:paraId="1E8E69D7" w14:textId="2632BD5F" w:rsidR="00D3425E" w:rsidRPr="00DF1525" w:rsidRDefault="00D3425E" w:rsidP="004F5360">
      <w:pPr>
        <w:pStyle w:val="ListBullet"/>
        <w:spacing w:before="120" w:after="120"/>
        <w:ind w:left="357" w:hanging="357"/>
      </w:pPr>
      <w:r w:rsidRPr="00DF1525">
        <w:t>The Secretary will not routinely approve a person who is not a</w:t>
      </w:r>
      <w:r w:rsidR="0047313F">
        <w:t>n</w:t>
      </w:r>
      <w:r w:rsidRPr="00DF1525">
        <w:t xml:space="preserve"> RCA to audit financial reports. The Secretary must be satisfied with the qualifications and experience of the proposed alternative auditor. An application should be used to cover exceptional circumstances only. For instance, if </w:t>
      </w:r>
      <w:r w:rsidR="007A12F4">
        <w:t>a provider</w:t>
      </w:r>
      <w:r w:rsidR="008F5FBB">
        <w:t xml:space="preserve"> is</w:t>
      </w:r>
      <w:r w:rsidRPr="00DF1525">
        <w:t xml:space="preserve"> not able to readily access the services of a</w:t>
      </w:r>
      <w:r w:rsidR="0047313F">
        <w:t xml:space="preserve">n </w:t>
      </w:r>
      <w:r w:rsidRPr="00DF1525">
        <w:t xml:space="preserve">RCA because </w:t>
      </w:r>
      <w:r w:rsidR="008F5FBB">
        <w:t>they</w:t>
      </w:r>
      <w:r w:rsidRPr="00DF1525">
        <w:t xml:space="preserve"> are in a rural/remote location where there are no RCAs; then </w:t>
      </w:r>
      <w:r w:rsidR="008F5FBB">
        <w:t>they</w:t>
      </w:r>
      <w:r w:rsidRPr="00DF1525">
        <w:t xml:space="preserve"> may request that the Secretary approve an alternative auditor</w:t>
      </w:r>
      <w:r w:rsidRPr="00DF1525">
        <w:rPr>
          <w:b/>
        </w:rPr>
        <w:t xml:space="preserve"> </w:t>
      </w:r>
      <w:r w:rsidRPr="00DF1525">
        <w:t>who is not a</w:t>
      </w:r>
      <w:r w:rsidR="0047313F">
        <w:t>n</w:t>
      </w:r>
      <w:r w:rsidRPr="00DF1525">
        <w:t xml:space="preserve"> RCA. Approval of an alternative auditor is at the discretion of the Secretary. </w:t>
      </w:r>
    </w:p>
    <w:p w14:paraId="587F2F60" w14:textId="512BCBE0" w:rsidR="00D3425E" w:rsidRPr="00DF1525" w:rsidRDefault="00D3425E" w:rsidP="004F5360">
      <w:pPr>
        <w:pStyle w:val="ListBullet"/>
        <w:spacing w:before="120" w:after="120"/>
        <w:ind w:left="357" w:hanging="357"/>
      </w:pPr>
      <w:r w:rsidRPr="00DF1525">
        <w:t>Any requests for such an alternative auditor should be lodged now, together with the reasons why a</w:t>
      </w:r>
      <w:r w:rsidR="0047313F">
        <w:t>n</w:t>
      </w:r>
      <w:r w:rsidRPr="00DF1525">
        <w:t xml:space="preserve"> RCA is not available. </w:t>
      </w:r>
      <w:r w:rsidR="004641A0">
        <w:t>Providers</w:t>
      </w:r>
      <w:r w:rsidRPr="00DF1525">
        <w:t xml:space="preserve"> can request an application form for an alternative auditor by calling </w:t>
      </w:r>
      <w:r w:rsidRPr="00815032">
        <w:t xml:space="preserve">Forms Administration on (02) 44030640 </w:t>
      </w:r>
      <w:r w:rsidRPr="00331CA3">
        <w:t xml:space="preserve">(or via email </w:t>
      </w:r>
      <w:r w:rsidR="00022AB0" w:rsidRPr="00DF1525">
        <w:rPr>
          <w:rFonts w:cs="Arial"/>
          <w:color w:val="0000FF" w:themeColor="hyperlink"/>
          <w:u w:val="single"/>
          <w:lang w:val="en-US"/>
        </w:rPr>
        <w:t>health@formsadministration.com.au</w:t>
      </w:r>
      <w:r w:rsidRPr="00331CA3">
        <w:t>).</w:t>
      </w:r>
      <w:r w:rsidRPr="00DF1525">
        <w:t xml:space="preserve"> Please note, the department has 28 working days in which to process any application for alternative arrangements, therefore any request for an alternative auditor must be made by 30 September 202</w:t>
      </w:r>
      <w:r w:rsidR="00D13BD5">
        <w:t>4</w:t>
      </w:r>
      <w:r w:rsidRPr="00DF1525">
        <w:t>.</w:t>
      </w:r>
    </w:p>
    <w:p w14:paraId="224960A6" w14:textId="77777777" w:rsidR="00D3425E" w:rsidRPr="00DF1525" w:rsidRDefault="00D3425E" w:rsidP="004F5360">
      <w:pPr>
        <w:pStyle w:val="ListBullet"/>
        <w:spacing w:before="120" w:after="120"/>
        <w:ind w:left="357" w:hanging="357"/>
      </w:pPr>
      <w:r w:rsidRPr="00DF1525">
        <w:t>Obtain from the auditor (or the approved person) an audit opinion including whether the GPFS is in accordance with the applicable accounting standards and whether the GPFS gives a true and fair view of the financial position and performance of the entity for the relevant financial year.</w:t>
      </w:r>
    </w:p>
    <w:p w14:paraId="740D93EC" w14:textId="77777777" w:rsidR="00D3425E" w:rsidRPr="00DF1525" w:rsidRDefault="00D3425E" w:rsidP="004F5360">
      <w:pPr>
        <w:pStyle w:val="ListBullet"/>
        <w:spacing w:before="120" w:after="120"/>
        <w:ind w:left="357" w:hanging="357"/>
      </w:pPr>
      <w:r w:rsidRPr="00DF1525">
        <w:t xml:space="preserve">The audit report must be signed and dated by the auditor before it is deemed complete and must be lodged with the financial report by the due date. </w:t>
      </w:r>
    </w:p>
    <w:p w14:paraId="47F0B9D9" w14:textId="77476A22" w:rsidR="00D3425E" w:rsidRPr="00341487" w:rsidRDefault="00D3425E" w:rsidP="0085011B">
      <w:pPr>
        <w:spacing w:before="200" w:after="0"/>
        <w:rPr>
          <w:rFonts w:cs="Arial"/>
          <w:b/>
          <w:bCs/>
          <w:iCs/>
          <w:color w:val="002060"/>
          <w:sz w:val="24"/>
        </w:rPr>
      </w:pPr>
      <w:r w:rsidRPr="00341487">
        <w:rPr>
          <w:rFonts w:cs="Arial"/>
          <w:b/>
          <w:bCs/>
          <w:iCs/>
          <w:color w:val="002060"/>
          <w:sz w:val="24"/>
        </w:rPr>
        <w:t xml:space="preserve">Government </w:t>
      </w:r>
      <w:r w:rsidR="00B15F0A" w:rsidRPr="00341487">
        <w:rPr>
          <w:rFonts w:cs="Arial"/>
          <w:b/>
          <w:bCs/>
          <w:iCs/>
          <w:color w:val="002060"/>
          <w:sz w:val="24"/>
        </w:rPr>
        <w:t>p</w:t>
      </w:r>
      <w:r w:rsidRPr="00341487">
        <w:rPr>
          <w:rFonts w:cs="Arial"/>
          <w:b/>
          <w:bCs/>
          <w:iCs/>
          <w:color w:val="002060"/>
          <w:sz w:val="24"/>
        </w:rPr>
        <w:t xml:space="preserve">roviders </w:t>
      </w:r>
    </w:p>
    <w:p w14:paraId="79169012" w14:textId="4EBA087A" w:rsidR="00D3425E" w:rsidRPr="00DF1525" w:rsidRDefault="00D3425E" w:rsidP="004F5360">
      <w:pPr>
        <w:pStyle w:val="ListBullet"/>
        <w:spacing w:before="120" w:after="120"/>
        <w:ind w:left="357" w:hanging="357"/>
      </w:pPr>
      <w:r w:rsidRPr="00DF1525">
        <w:t xml:space="preserve">If </w:t>
      </w:r>
      <w:r w:rsidR="004641A0">
        <w:t>an</w:t>
      </w:r>
      <w:r w:rsidRPr="00DF1525">
        <w:t xml:space="preserve"> organisation is an approved provider of residential aged care and is also: a state or territory government, an authority of a state or territory or a local government authority then </w:t>
      </w:r>
      <w:r w:rsidR="004641A0">
        <w:t>they</w:t>
      </w:r>
      <w:r w:rsidRPr="00DF1525">
        <w:t xml:space="preserve"> are not required to submit a GPFS or provide the mandatory approved provider line items contained in the ACFR.</w:t>
      </w:r>
    </w:p>
    <w:p w14:paraId="7F77340A" w14:textId="6AD53626" w:rsidR="0085011B" w:rsidRDefault="00D3425E" w:rsidP="004F5360">
      <w:pPr>
        <w:pStyle w:val="ListBullet"/>
        <w:spacing w:before="120" w:after="120"/>
        <w:ind w:left="357" w:hanging="357"/>
      </w:pPr>
      <w:r w:rsidRPr="00DF1525">
        <w:t xml:space="preserve">All government residential aged care providers must complete and submit a residential aged care segment note covering </w:t>
      </w:r>
      <w:r w:rsidR="0024792F" w:rsidRPr="00DF1525">
        <w:t>all</w:t>
      </w:r>
      <w:r w:rsidRPr="00DF1525">
        <w:t xml:space="preserve"> their residential services. The segment note must be in the </w:t>
      </w:r>
      <w:r w:rsidRPr="005D5A1A">
        <w:t xml:space="preserve">mandatory ACFR format and include all the line items for the residential care segment level Income Statement and Balance Sheet as outlined in the ACFR. </w:t>
      </w:r>
    </w:p>
    <w:p w14:paraId="785807C8" w14:textId="77777777" w:rsidR="00BA0B59" w:rsidRPr="005D5A1A" w:rsidRDefault="00BA0B59" w:rsidP="00BA0B59">
      <w:pPr>
        <w:pStyle w:val="ListBullet"/>
        <w:numPr>
          <w:ilvl w:val="0"/>
          <w:numId w:val="0"/>
        </w:numPr>
        <w:spacing w:before="120" w:after="120"/>
        <w:ind w:left="360" w:hanging="360"/>
      </w:pPr>
    </w:p>
    <w:p w14:paraId="1B146423" w14:textId="77777777" w:rsidR="00D3425E" w:rsidRPr="00341487" w:rsidRDefault="00D3425E" w:rsidP="0085011B">
      <w:pPr>
        <w:spacing w:before="200" w:after="0"/>
        <w:rPr>
          <w:rFonts w:cs="Arial"/>
          <w:b/>
          <w:bCs/>
          <w:iCs/>
          <w:color w:val="002060"/>
          <w:sz w:val="24"/>
        </w:rPr>
      </w:pPr>
      <w:r w:rsidRPr="00341487">
        <w:rPr>
          <w:rFonts w:cs="Arial"/>
          <w:b/>
          <w:bCs/>
          <w:iCs/>
          <w:color w:val="002060"/>
          <w:sz w:val="24"/>
        </w:rPr>
        <w:lastRenderedPageBreak/>
        <w:t xml:space="preserve">Segment reporting and mandatory information  </w:t>
      </w:r>
    </w:p>
    <w:p w14:paraId="1576E753" w14:textId="4F783F6A" w:rsidR="0071660D" w:rsidRPr="00BA0B59" w:rsidRDefault="00D3425E" w:rsidP="00BA0B59">
      <w:pPr>
        <w:pStyle w:val="ListBullet"/>
        <w:spacing w:before="120" w:after="120"/>
        <w:ind w:left="357" w:hanging="357"/>
        <w:rPr>
          <w:b/>
          <w:lang w:val="en-US"/>
        </w:rPr>
      </w:pPr>
      <w:r w:rsidRPr="00DF1525">
        <w:rPr>
          <w:lang w:val="en-US"/>
        </w:rPr>
        <w:t xml:space="preserve">The ACFR includes mandatory line items in the Income Statement, Balance Sheet, Cash Flow </w:t>
      </w:r>
      <w:proofErr w:type="gramStart"/>
      <w:r w:rsidRPr="00DF1525">
        <w:rPr>
          <w:lang w:val="en-US"/>
        </w:rPr>
        <w:t>Statement</w:t>
      </w:r>
      <w:proofErr w:type="gramEnd"/>
      <w:r w:rsidRPr="00DF1525">
        <w:rPr>
          <w:lang w:val="en-US"/>
        </w:rPr>
        <w:t xml:space="preserve"> and notes to the financial statements at the approved provider level and a mandatory format and line items for the Income Statement and Balance Sheet at the residential care segment level.</w:t>
      </w:r>
    </w:p>
    <w:p w14:paraId="186C09A2" w14:textId="7EC9B46D" w:rsidR="00D3425E" w:rsidRPr="00341487" w:rsidRDefault="00D3425E" w:rsidP="0085011B">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Approved </w:t>
      </w:r>
      <w:r w:rsidR="00B15F0A" w:rsidRPr="00341487">
        <w:rPr>
          <w:rFonts w:eastAsiaTheme="majorEastAsia" w:cs="Arial"/>
          <w:b/>
          <w:bCs/>
          <w:color w:val="002060"/>
          <w:sz w:val="24"/>
          <w:szCs w:val="28"/>
        </w:rPr>
        <w:t>p</w:t>
      </w:r>
      <w:r w:rsidRPr="00341487">
        <w:rPr>
          <w:rFonts w:eastAsiaTheme="majorEastAsia" w:cs="Arial"/>
          <w:b/>
          <w:bCs/>
          <w:color w:val="002060"/>
          <w:sz w:val="24"/>
          <w:szCs w:val="28"/>
        </w:rPr>
        <w:t xml:space="preserve">rovider </w:t>
      </w:r>
      <w:r w:rsidR="00B15F0A" w:rsidRPr="00341487">
        <w:rPr>
          <w:rFonts w:eastAsiaTheme="majorEastAsia" w:cs="Arial"/>
          <w:b/>
          <w:bCs/>
          <w:color w:val="002060"/>
          <w:sz w:val="24"/>
          <w:szCs w:val="28"/>
        </w:rPr>
        <w:t>s</w:t>
      </w:r>
      <w:r w:rsidRPr="00341487">
        <w:rPr>
          <w:rFonts w:eastAsiaTheme="majorEastAsia" w:cs="Arial"/>
          <w:b/>
          <w:bCs/>
          <w:color w:val="002060"/>
          <w:sz w:val="24"/>
          <w:szCs w:val="28"/>
        </w:rPr>
        <w:t xml:space="preserve">ections of the ACFR  </w:t>
      </w:r>
    </w:p>
    <w:p w14:paraId="03BA57D5" w14:textId="0EE7FF80" w:rsidR="00D3425E" w:rsidRPr="00DF1525" w:rsidRDefault="00D3425E" w:rsidP="004F5360">
      <w:pPr>
        <w:pStyle w:val="ListBullet"/>
        <w:spacing w:before="120" w:after="120"/>
        <w:ind w:left="357" w:hanging="357"/>
      </w:pPr>
      <w:r w:rsidRPr="00DF1525">
        <w:t xml:space="preserve">When completing the approved provider sections within the ACFR, the data entered should include information for both the provider’s residential care and non-residential care operations </w:t>
      </w:r>
      <w:r w:rsidRPr="002563CE">
        <w:t xml:space="preserve">and the information </w:t>
      </w:r>
      <w:proofErr w:type="gramStart"/>
      <w:r w:rsidRPr="002563CE">
        <w:t>entered into</w:t>
      </w:r>
      <w:proofErr w:type="gramEnd"/>
      <w:r w:rsidRPr="002563CE">
        <w:t xml:space="preserve"> the ACFR must reconcile to the GPFS</w:t>
      </w:r>
      <w:r w:rsidR="00B15F0A" w:rsidRPr="00331CA3">
        <w:rPr>
          <w:bCs/>
        </w:rPr>
        <w:t>.</w:t>
      </w:r>
    </w:p>
    <w:p w14:paraId="1EC840E6" w14:textId="44BA80BD" w:rsidR="00D3425E" w:rsidRPr="00341487" w:rsidRDefault="00D3425E" w:rsidP="00EE206A">
      <w:pPr>
        <w:spacing w:before="200" w:after="0"/>
        <w:rPr>
          <w:rFonts w:cs="Arial"/>
          <w:color w:val="002060"/>
          <w:sz w:val="24"/>
          <w:szCs w:val="28"/>
        </w:rPr>
      </w:pPr>
      <w:r w:rsidRPr="00341487">
        <w:rPr>
          <w:rFonts w:eastAsiaTheme="majorEastAsia" w:cs="Arial"/>
          <w:b/>
          <w:bCs/>
          <w:color w:val="002060"/>
          <w:sz w:val="24"/>
          <w:szCs w:val="28"/>
        </w:rPr>
        <w:t xml:space="preserve">Approved </w:t>
      </w:r>
      <w:r w:rsidR="00B15F0A" w:rsidRPr="00341487">
        <w:rPr>
          <w:rFonts w:eastAsiaTheme="majorEastAsia" w:cs="Arial"/>
          <w:b/>
          <w:bCs/>
          <w:color w:val="002060"/>
          <w:sz w:val="24"/>
          <w:szCs w:val="28"/>
        </w:rPr>
        <w:t>p</w:t>
      </w:r>
      <w:r w:rsidRPr="00341487">
        <w:rPr>
          <w:rFonts w:eastAsiaTheme="majorEastAsia" w:cs="Arial"/>
          <w:b/>
          <w:bCs/>
          <w:color w:val="002060"/>
          <w:sz w:val="24"/>
          <w:szCs w:val="28"/>
        </w:rPr>
        <w:t xml:space="preserve">rovider who </w:t>
      </w:r>
      <w:r w:rsidR="00107514" w:rsidRPr="00341487">
        <w:rPr>
          <w:rFonts w:eastAsiaTheme="majorEastAsia" w:cs="Arial"/>
          <w:b/>
          <w:bCs/>
          <w:color w:val="002060"/>
          <w:sz w:val="24"/>
          <w:szCs w:val="28"/>
        </w:rPr>
        <w:t xml:space="preserve">only </w:t>
      </w:r>
      <w:r w:rsidR="00B15F0A" w:rsidRPr="00341487">
        <w:rPr>
          <w:rFonts w:eastAsiaTheme="majorEastAsia" w:cs="Arial"/>
          <w:b/>
          <w:bCs/>
          <w:color w:val="002060"/>
          <w:sz w:val="24"/>
          <w:szCs w:val="28"/>
        </w:rPr>
        <w:t>d</w:t>
      </w:r>
      <w:r w:rsidRPr="00341487">
        <w:rPr>
          <w:rFonts w:eastAsiaTheme="majorEastAsia" w:cs="Arial"/>
          <w:b/>
          <w:bCs/>
          <w:color w:val="002060"/>
          <w:sz w:val="24"/>
          <w:szCs w:val="28"/>
        </w:rPr>
        <w:t>eliver</w:t>
      </w:r>
      <w:r w:rsidR="00B15F0A" w:rsidRPr="00341487">
        <w:rPr>
          <w:rFonts w:eastAsiaTheme="majorEastAsia" w:cs="Arial"/>
          <w:b/>
          <w:bCs/>
          <w:color w:val="002060"/>
          <w:sz w:val="24"/>
          <w:szCs w:val="28"/>
        </w:rPr>
        <w:t xml:space="preserve"> r</w:t>
      </w:r>
      <w:r w:rsidRPr="00341487">
        <w:rPr>
          <w:rFonts w:eastAsiaTheme="majorEastAsia" w:cs="Arial"/>
          <w:b/>
          <w:bCs/>
          <w:color w:val="002060"/>
          <w:sz w:val="24"/>
          <w:szCs w:val="28"/>
        </w:rPr>
        <w:t xml:space="preserve">esidential </w:t>
      </w:r>
      <w:r w:rsidR="00B15F0A" w:rsidRPr="00341487">
        <w:rPr>
          <w:rFonts w:eastAsiaTheme="majorEastAsia" w:cs="Arial"/>
          <w:b/>
          <w:bCs/>
          <w:color w:val="002060"/>
          <w:sz w:val="24"/>
          <w:szCs w:val="28"/>
        </w:rPr>
        <w:t>a</w:t>
      </w:r>
      <w:r w:rsidRPr="00341487">
        <w:rPr>
          <w:rFonts w:eastAsiaTheme="majorEastAsia" w:cs="Arial"/>
          <w:b/>
          <w:bCs/>
          <w:color w:val="002060"/>
          <w:sz w:val="24"/>
          <w:szCs w:val="28"/>
        </w:rPr>
        <w:t xml:space="preserve">ged </w:t>
      </w:r>
      <w:r w:rsidR="00B15F0A" w:rsidRPr="00341487">
        <w:rPr>
          <w:rFonts w:eastAsiaTheme="majorEastAsia" w:cs="Arial"/>
          <w:b/>
          <w:bCs/>
          <w:color w:val="002060"/>
          <w:sz w:val="24"/>
          <w:szCs w:val="28"/>
        </w:rPr>
        <w:t>c</w:t>
      </w:r>
      <w:r w:rsidRPr="00341487">
        <w:rPr>
          <w:rFonts w:eastAsiaTheme="majorEastAsia" w:cs="Arial"/>
          <w:b/>
          <w:bCs/>
          <w:color w:val="002060"/>
          <w:sz w:val="24"/>
          <w:szCs w:val="28"/>
        </w:rPr>
        <w:t>are (Type A)</w:t>
      </w:r>
    </w:p>
    <w:p w14:paraId="73B0DE9D" w14:textId="183CF060" w:rsidR="003A01B6" w:rsidRPr="00DF1525" w:rsidRDefault="00D3425E" w:rsidP="004F5360">
      <w:pPr>
        <w:pStyle w:val="ListBullet"/>
        <w:spacing w:before="120" w:after="120"/>
        <w:ind w:hanging="357"/>
      </w:pPr>
      <w:r w:rsidRPr="00DF1525">
        <w:t xml:space="preserve">If </w:t>
      </w:r>
      <w:r w:rsidR="00113EBC">
        <w:t>a provider</w:t>
      </w:r>
      <w:r w:rsidRPr="00DF1525">
        <w:t xml:space="preserve"> deliver</w:t>
      </w:r>
      <w:r w:rsidR="001F7B57">
        <w:t>s</w:t>
      </w:r>
      <w:r w:rsidRPr="00DF1525">
        <w:t xml:space="preserve"> only residential aged care services, </w:t>
      </w:r>
      <w:r w:rsidR="00113EBC">
        <w:t>they</w:t>
      </w:r>
      <w:r w:rsidRPr="00DF1525">
        <w:t xml:space="preserve"> must:</w:t>
      </w:r>
    </w:p>
    <w:p w14:paraId="43008A8C" w14:textId="77777777" w:rsidR="00D3425E" w:rsidRPr="00DF1525" w:rsidRDefault="00D3425E" w:rsidP="004F5360">
      <w:pPr>
        <w:pStyle w:val="ListBullet"/>
        <w:numPr>
          <w:ilvl w:val="1"/>
          <w:numId w:val="5"/>
        </w:numPr>
        <w:spacing w:before="120" w:after="120"/>
        <w:ind w:hanging="357"/>
      </w:pPr>
      <w:r w:rsidRPr="00DF1525">
        <w:t>complete all the ACFR mandatory approved provider line items and mandatory residential care segment line items in the format required by the ACFR; and</w:t>
      </w:r>
    </w:p>
    <w:p w14:paraId="06CFE7F1" w14:textId="77777777" w:rsidR="00D3425E" w:rsidRPr="00DF1525" w:rsidRDefault="00D3425E" w:rsidP="004F5360">
      <w:pPr>
        <w:pStyle w:val="ListBullet"/>
        <w:numPr>
          <w:ilvl w:val="1"/>
          <w:numId w:val="5"/>
        </w:numPr>
        <w:spacing w:before="120" w:after="120"/>
        <w:ind w:hanging="357"/>
      </w:pPr>
      <w:r w:rsidRPr="00DF1525">
        <w:t>include a separate note in the GPFS attesting that:</w:t>
      </w:r>
    </w:p>
    <w:p w14:paraId="7101BC2C" w14:textId="77777777" w:rsidR="00D3425E" w:rsidRPr="0007538C" w:rsidRDefault="00D3425E" w:rsidP="004F5360">
      <w:pPr>
        <w:pStyle w:val="ListBullet"/>
        <w:numPr>
          <w:ilvl w:val="1"/>
          <w:numId w:val="5"/>
        </w:numPr>
        <w:spacing w:before="120" w:after="120"/>
        <w:ind w:hanging="357"/>
      </w:pPr>
      <w:r w:rsidRPr="0007538C">
        <w:t>The approved provider delivers only residential aged care services and this GPFS therefore relates only to such operations.</w:t>
      </w:r>
    </w:p>
    <w:p w14:paraId="6A9CE9F4" w14:textId="77324126" w:rsidR="00D3425E" w:rsidRPr="00341487" w:rsidRDefault="00D3425E" w:rsidP="00EE206A">
      <w:pPr>
        <w:spacing w:before="200" w:after="0"/>
        <w:rPr>
          <w:rFonts w:cs="Arial"/>
          <w:color w:val="002060"/>
          <w:sz w:val="24"/>
          <w:szCs w:val="28"/>
        </w:rPr>
      </w:pPr>
      <w:r w:rsidRPr="00341487">
        <w:rPr>
          <w:rFonts w:eastAsiaTheme="majorEastAsia" w:cs="Arial"/>
          <w:b/>
          <w:bCs/>
          <w:color w:val="002060"/>
          <w:sz w:val="24"/>
          <w:szCs w:val="28"/>
        </w:rPr>
        <w:t xml:space="preserve">Approved </w:t>
      </w:r>
      <w:r w:rsidR="00B15F0A" w:rsidRPr="00341487">
        <w:rPr>
          <w:rFonts w:eastAsiaTheme="majorEastAsia" w:cs="Arial"/>
          <w:b/>
          <w:bCs/>
          <w:color w:val="002060"/>
          <w:sz w:val="24"/>
          <w:szCs w:val="28"/>
        </w:rPr>
        <w:t>p</w:t>
      </w:r>
      <w:r w:rsidRPr="00341487">
        <w:rPr>
          <w:rFonts w:eastAsiaTheme="majorEastAsia" w:cs="Arial"/>
          <w:b/>
          <w:bCs/>
          <w:color w:val="002060"/>
          <w:sz w:val="24"/>
          <w:szCs w:val="28"/>
        </w:rPr>
        <w:t xml:space="preserve">rovider who </w:t>
      </w:r>
      <w:r w:rsidR="00B15F0A" w:rsidRPr="00341487">
        <w:rPr>
          <w:rFonts w:eastAsiaTheme="majorEastAsia" w:cs="Arial"/>
          <w:b/>
          <w:bCs/>
          <w:color w:val="002060"/>
          <w:sz w:val="24"/>
          <w:szCs w:val="28"/>
        </w:rPr>
        <w:t>d</w:t>
      </w:r>
      <w:r w:rsidRPr="00341487">
        <w:rPr>
          <w:rFonts w:eastAsiaTheme="majorEastAsia" w:cs="Arial"/>
          <w:b/>
          <w:bCs/>
          <w:color w:val="002060"/>
          <w:sz w:val="24"/>
          <w:szCs w:val="28"/>
        </w:rPr>
        <w:t xml:space="preserve">elivers </w:t>
      </w:r>
      <w:r w:rsidR="00B15F0A" w:rsidRPr="00341487">
        <w:rPr>
          <w:rFonts w:eastAsiaTheme="majorEastAsia" w:cs="Arial"/>
          <w:b/>
          <w:bCs/>
          <w:color w:val="002060"/>
          <w:sz w:val="24"/>
          <w:szCs w:val="28"/>
        </w:rPr>
        <w:t>s</w:t>
      </w:r>
      <w:r w:rsidRPr="00341487">
        <w:rPr>
          <w:rFonts w:eastAsiaTheme="majorEastAsia" w:cs="Arial"/>
          <w:b/>
          <w:bCs/>
          <w:color w:val="002060"/>
          <w:sz w:val="24"/>
          <w:szCs w:val="28"/>
        </w:rPr>
        <w:t xml:space="preserve">ervices </w:t>
      </w:r>
      <w:r w:rsidR="00B15F0A" w:rsidRPr="00341487">
        <w:rPr>
          <w:rFonts w:eastAsiaTheme="majorEastAsia" w:cs="Arial"/>
          <w:b/>
          <w:bCs/>
          <w:color w:val="002060"/>
          <w:sz w:val="24"/>
          <w:szCs w:val="28"/>
        </w:rPr>
        <w:t xml:space="preserve">in addition </w:t>
      </w:r>
      <w:r w:rsidRPr="00341487">
        <w:rPr>
          <w:rFonts w:eastAsiaTheme="majorEastAsia" w:cs="Arial"/>
          <w:b/>
          <w:bCs/>
          <w:color w:val="002060"/>
          <w:sz w:val="24"/>
          <w:szCs w:val="28"/>
        </w:rPr>
        <w:t xml:space="preserve">to </w:t>
      </w:r>
      <w:r w:rsidR="00B15F0A" w:rsidRPr="00341487">
        <w:rPr>
          <w:rFonts w:eastAsiaTheme="majorEastAsia" w:cs="Arial"/>
          <w:b/>
          <w:bCs/>
          <w:color w:val="002060"/>
          <w:sz w:val="24"/>
          <w:szCs w:val="28"/>
        </w:rPr>
        <w:t>r</w:t>
      </w:r>
      <w:r w:rsidRPr="00341487">
        <w:rPr>
          <w:rFonts w:eastAsiaTheme="majorEastAsia" w:cs="Arial"/>
          <w:b/>
          <w:bCs/>
          <w:color w:val="002060"/>
          <w:sz w:val="24"/>
          <w:szCs w:val="28"/>
        </w:rPr>
        <w:t xml:space="preserve">esidential </w:t>
      </w:r>
      <w:r w:rsidR="00B15F0A" w:rsidRPr="00341487">
        <w:rPr>
          <w:rFonts w:eastAsiaTheme="majorEastAsia" w:cs="Arial"/>
          <w:b/>
          <w:bCs/>
          <w:color w:val="002060"/>
          <w:sz w:val="24"/>
          <w:szCs w:val="28"/>
        </w:rPr>
        <w:t>a</w:t>
      </w:r>
      <w:r w:rsidRPr="00341487">
        <w:rPr>
          <w:rFonts w:eastAsiaTheme="majorEastAsia" w:cs="Arial"/>
          <w:b/>
          <w:bCs/>
          <w:color w:val="002060"/>
          <w:sz w:val="24"/>
          <w:szCs w:val="28"/>
        </w:rPr>
        <w:t xml:space="preserve">ged </w:t>
      </w:r>
      <w:r w:rsidR="00B15F0A" w:rsidRPr="00341487">
        <w:rPr>
          <w:rFonts w:eastAsiaTheme="majorEastAsia" w:cs="Arial"/>
          <w:b/>
          <w:bCs/>
          <w:color w:val="002060"/>
          <w:sz w:val="24"/>
          <w:szCs w:val="28"/>
        </w:rPr>
        <w:t>c</w:t>
      </w:r>
      <w:r w:rsidRPr="00341487">
        <w:rPr>
          <w:rFonts w:eastAsiaTheme="majorEastAsia" w:cs="Arial"/>
          <w:b/>
          <w:bCs/>
          <w:color w:val="002060"/>
          <w:sz w:val="24"/>
          <w:szCs w:val="28"/>
        </w:rPr>
        <w:t>are (Type B)</w:t>
      </w:r>
    </w:p>
    <w:p w14:paraId="20C82D27" w14:textId="2DC579D5" w:rsidR="00D3425E" w:rsidRPr="00DF1525" w:rsidRDefault="00D3425E" w:rsidP="004F5360">
      <w:pPr>
        <w:pStyle w:val="ListBullet"/>
        <w:spacing w:before="120" w:after="120"/>
        <w:ind w:left="357" w:hanging="357"/>
        <w:rPr>
          <w:lang w:val="en-US"/>
        </w:rPr>
      </w:pPr>
      <w:r w:rsidRPr="00DF1525">
        <w:t xml:space="preserve">As residential care segment information must be supplied in the ACFR, then </w:t>
      </w:r>
      <w:r w:rsidRPr="00DF1525">
        <w:rPr>
          <w:lang w:val="en-US"/>
        </w:rPr>
        <w:t xml:space="preserve">subject to the GPFS complying with the Australian accounting standards, there is no need to also include a </w:t>
      </w:r>
      <w:r w:rsidR="00B15F0A">
        <w:rPr>
          <w:lang w:val="en-US"/>
        </w:rPr>
        <w:t>r</w:t>
      </w:r>
      <w:r w:rsidRPr="00DF1525">
        <w:rPr>
          <w:lang w:val="en-US"/>
        </w:rPr>
        <w:t xml:space="preserve">esidential </w:t>
      </w:r>
      <w:r w:rsidR="00B15F0A">
        <w:rPr>
          <w:lang w:val="en-US"/>
        </w:rPr>
        <w:t>a</w:t>
      </w:r>
      <w:r w:rsidRPr="00DF1525">
        <w:rPr>
          <w:lang w:val="en-US"/>
        </w:rPr>
        <w:t xml:space="preserve">ged </w:t>
      </w:r>
      <w:r w:rsidR="00B15F0A">
        <w:rPr>
          <w:lang w:val="en-US"/>
        </w:rPr>
        <w:t>c</w:t>
      </w:r>
      <w:r w:rsidRPr="00DF1525">
        <w:rPr>
          <w:lang w:val="en-US"/>
        </w:rPr>
        <w:t xml:space="preserve">are segment note in </w:t>
      </w:r>
      <w:r w:rsidR="008D0D57">
        <w:rPr>
          <w:lang w:val="en-US"/>
        </w:rPr>
        <w:t>the</w:t>
      </w:r>
      <w:r w:rsidRPr="00DF1525">
        <w:rPr>
          <w:lang w:val="en-US"/>
        </w:rPr>
        <w:t xml:space="preserve"> GPFS. </w:t>
      </w:r>
    </w:p>
    <w:p w14:paraId="3A790025" w14:textId="2D72ACC4" w:rsidR="00865EA8" w:rsidRPr="00341487" w:rsidRDefault="00865EA8" w:rsidP="00865EA8">
      <w:pPr>
        <w:spacing w:before="200" w:after="0"/>
        <w:rPr>
          <w:rFonts w:cs="Arial"/>
          <w:color w:val="002060"/>
          <w:sz w:val="24"/>
          <w:szCs w:val="28"/>
        </w:rPr>
      </w:pPr>
      <w:bookmarkStart w:id="8" w:name="_Toc488160245"/>
      <w:r w:rsidRPr="00341487">
        <w:rPr>
          <w:rFonts w:eastAsiaTheme="majorEastAsia" w:cs="Arial"/>
          <w:b/>
          <w:bCs/>
          <w:color w:val="002060"/>
          <w:sz w:val="24"/>
          <w:szCs w:val="28"/>
        </w:rPr>
        <w:t xml:space="preserve">Residential </w:t>
      </w:r>
      <w:r w:rsidR="00B15F0A" w:rsidRPr="00341487">
        <w:rPr>
          <w:rFonts w:eastAsiaTheme="majorEastAsia" w:cs="Arial"/>
          <w:b/>
          <w:bCs/>
          <w:color w:val="002060"/>
          <w:sz w:val="24"/>
          <w:szCs w:val="28"/>
        </w:rPr>
        <w:t>c</w:t>
      </w:r>
      <w:r w:rsidRPr="00341487">
        <w:rPr>
          <w:rFonts w:eastAsiaTheme="majorEastAsia" w:cs="Arial"/>
          <w:b/>
          <w:bCs/>
          <w:color w:val="002060"/>
          <w:sz w:val="24"/>
          <w:szCs w:val="28"/>
        </w:rPr>
        <w:t xml:space="preserve">are </w:t>
      </w:r>
      <w:r w:rsidR="00B15F0A" w:rsidRPr="00341487">
        <w:rPr>
          <w:rFonts w:eastAsiaTheme="majorEastAsia" w:cs="Arial"/>
          <w:b/>
          <w:bCs/>
          <w:color w:val="002060"/>
          <w:sz w:val="24"/>
          <w:szCs w:val="28"/>
        </w:rPr>
        <w:t>s</w:t>
      </w:r>
      <w:r w:rsidRPr="00341487">
        <w:rPr>
          <w:rFonts w:eastAsiaTheme="majorEastAsia" w:cs="Arial"/>
          <w:b/>
          <w:bCs/>
          <w:color w:val="002060"/>
          <w:sz w:val="24"/>
          <w:szCs w:val="28"/>
        </w:rPr>
        <w:t>ections of the ACFR</w:t>
      </w:r>
      <w:r w:rsidRPr="00341487">
        <w:rPr>
          <w:rFonts w:cs="Arial"/>
          <w:color w:val="002060"/>
          <w:sz w:val="24"/>
          <w:szCs w:val="28"/>
        </w:rPr>
        <w:t xml:space="preserve">  </w:t>
      </w:r>
    </w:p>
    <w:p w14:paraId="4F075026" w14:textId="77777777" w:rsidR="00865EA8" w:rsidRDefault="00865EA8" w:rsidP="00663EE1">
      <w:pPr>
        <w:pStyle w:val="ListBullet"/>
        <w:spacing w:before="120" w:after="120"/>
        <w:ind w:left="357" w:hanging="357"/>
      </w:pPr>
      <w:r w:rsidRPr="00DF1525">
        <w:t xml:space="preserve">The residential care sections within the ACFR should only include financial information related to residential aged care operations as defined under the Act, financial information for other aged care operations such as home or flexible care, or independent living units for seniors is not to be included. </w:t>
      </w:r>
    </w:p>
    <w:p w14:paraId="669AB14C" w14:textId="77777777" w:rsidR="00464732" w:rsidRPr="00341487" w:rsidRDefault="00464732" w:rsidP="00464732">
      <w:pPr>
        <w:spacing w:before="200" w:after="0"/>
        <w:rPr>
          <w:rFonts w:eastAsiaTheme="majorEastAsia" w:cs="Arial"/>
          <w:b/>
          <w:bCs/>
          <w:color w:val="002060"/>
          <w:sz w:val="24"/>
          <w:szCs w:val="28"/>
        </w:rPr>
      </w:pPr>
      <w:r w:rsidRPr="00341487">
        <w:rPr>
          <w:rFonts w:eastAsiaTheme="majorEastAsia" w:cs="Arial"/>
          <w:b/>
          <w:bCs/>
          <w:color w:val="002060"/>
          <w:sz w:val="24"/>
          <w:szCs w:val="28"/>
        </w:rPr>
        <w:t>Report on all residential aged care services operated for all or part of the financial year</w:t>
      </w:r>
    </w:p>
    <w:p w14:paraId="5790953D" w14:textId="0EC03E7E" w:rsidR="00464732" w:rsidRPr="003E061B" w:rsidRDefault="0070554C" w:rsidP="00663EE1">
      <w:pPr>
        <w:pStyle w:val="ListBullet"/>
        <w:spacing w:before="120" w:after="120"/>
        <w:ind w:left="357" w:hanging="357"/>
      </w:pPr>
      <w:r>
        <w:t>The</w:t>
      </w:r>
      <w:r w:rsidR="00464732" w:rsidRPr="003E061B">
        <w:t xml:space="preserve"> ACFR and GPFS </w:t>
      </w:r>
      <w:r w:rsidR="00464732" w:rsidRPr="00487261">
        <w:t>must</w:t>
      </w:r>
      <w:r w:rsidR="00464732" w:rsidRPr="00331CA3">
        <w:t xml:space="preserve"> report</w:t>
      </w:r>
      <w:r w:rsidR="00464732" w:rsidRPr="003E061B">
        <w:t xml:space="preserve"> on all residential aged care services </w:t>
      </w:r>
      <w:r w:rsidR="00513B94">
        <w:t>a provider</w:t>
      </w:r>
      <w:r w:rsidR="00464732" w:rsidRPr="003E061B">
        <w:t xml:space="preserve"> operated for all or part of the financial year. </w:t>
      </w:r>
    </w:p>
    <w:p w14:paraId="60BA1CD3" w14:textId="28BB331D" w:rsidR="00865EA8" w:rsidRPr="00341487" w:rsidRDefault="00865EA8" w:rsidP="00865EA8">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Residential </w:t>
      </w:r>
      <w:r w:rsidR="00B15F0A" w:rsidRPr="00341487">
        <w:rPr>
          <w:rFonts w:eastAsiaTheme="majorEastAsia" w:cs="Arial"/>
          <w:b/>
          <w:bCs/>
          <w:color w:val="002060"/>
          <w:sz w:val="24"/>
          <w:szCs w:val="28"/>
        </w:rPr>
        <w:t>a</w:t>
      </w:r>
      <w:r w:rsidRPr="00341487">
        <w:rPr>
          <w:rFonts w:eastAsiaTheme="majorEastAsia" w:cs="Arial"/>
          <w:b/>
          <w:bCs/>
          <w:color w:val="002060"/>
          <w:sz w:val="24"/>
          <w:szCs w:val="28"/>
        </w:rPr>
        <w:t xml:space="preserve">ged </w:t>
      </w:r>
      <w:r w:rsidR="00B15F0A" w:rsidRPr="00341487">
        <w:rPr>
          <w:rFonts w:eastAsiaTheme="majorEastAsia" w:cs="Arial"/>
          <w:b/>
          <w:bCs/>
          <w:color w:val="002060"/>
          <w:sz w:val="24"/>
          <w:szCs w:val="28"/>
        </w:rPr>
        <w:t>c</w:t>
      </w:r>
      <w:r w:rsidRPr="00341487">
        <w:rPr>
          <w:rFonts w:eastAsiaTheme="majorEastAsia" w:cs="Arial"/>
          <w:b/>
          <w:bCs/>
          <w:color w:val="002060"/>
          <w:sz w:val="24"/>
          <w:szCs w:val="28"/>
        </w:rPr>
        <w:t xml:space="preserve">are </w:t>
      </w:r>
      <w:r w:rsidR="00663EE1">
        <w:rPr>
          <w:rFonts w:eastAsiaTheme="majorEastAsia" w:cs="Arial"/>
          <w:b/>
          <w:bCs/>
          <w:color w:val="002060"/>
          <w:sz w:val="24"/>
          <w:szCs w:val="28"/>
        </w:rPr>
        <w:t>B</w:t>
      </w:r>
      <w:r w:rsidRPr="00341487">
        <w:rPr>
          <w:rFonts w:eastAsiaTheme="majorEastAsia" w:cs="Arial"/>
          <w:b/>
          <w:bCs/>
          <w:color w:val="002060"/>
          <w:sz w:val="24"/>
          <w:szCs w:val="28"/>
        </w:rPr>
        <w:t xml:space="preserve">alance </w:t>
      </w:r>
      <w:r w:rsidR="00663EE1">
        <w:rPr>
          <w:rFonts w:eastAsiaTheme="majorEastAsia" w:cs="Arial"/>
          <w:b/>
          <w:bCs/>
          <w:color w:val="002060"/>
          <w:sz w:val="24"/>
          <w:szCs w:val="28"/>
        </w:rPr>
        <w:t>S</w:t>
      </w:r>
      <w:r w:rsidRPr="00341487">
        <w:rPr>
          <w:rFonts w:eastAsiaTheme="majorEastAsia" w:cs="Arial"/>
          <w:b/>
          <w:bCs/>
          <w:color w:val="002060"/>
          <w:sz w:val="24"/>
          <w:szCs w:val="28"/>
        </w:rPr>
        <w:t>heet</w:t>
      </w:r>
    </w:p>
    <w:p w14:paraId="5EF0B86C" w14:textId="6E5E8195" w:rsidR="00865EA8" w:rsidRPr="00DF1525" w:rsidRDefault="00865EA8" w:rsidP="00663EE1">
      <w:pPr>
        <w:pStyle w:val="ListBullet"/>
        <w:spacing w:before="120" w:after="120"/>
        <w:ind w:left="357" w:hanging="357"/>
      </w:pPr>
      <w:r w:rsidRPr="00DF1525">
        <w:t xml:space="preserve">This schedule is the consolidated residential aged care segment Balance Sheet for all aged care </w:t>
      </w:r>
      <w:r w:rsidR="00A62ECF">
        <w:t>facilities</w:t>
      </w:r>
      <w:r w:rsidR="00A62ECF" w:rsidRPr="00DF1525">
        <w:t xml:space="preserve"> </w:t>
      </w:r>
      <w:r w:rsidRPr="00DF1525">
        <w:t>operated by the approved provider.</w:t>
      </w:r>
    </w:p>
    <w:p w14:paraId="53DFE50B" w14:textId="3A9E1D07" w:rsidR="00865EA8" w:rsidRPr="00DF1525" w:rsidRDefault="00865EA8" w:rsidP="00663EE1">
      <w:pPr>
        <w:pStyle w:val="ListBullet"/>
        <w:spacing w:before="120" w:after="120"/>
        <w:ind w:left="357" w:hanging="357"/>
      </w:pPr>
      <w:r w:rsidRPr="00DF1525">
        <w:t xml:space="preserve">The </w:t>
      </w:r>
      <w:r w:rsidR="00B15F0A">
        <w:t>d</w:t>
      </w:r>
      <w:r w:rsidRPr="00DF1525">
        <w:t xml:space="preserve">epartment has adopted the liquidity format balance sheet due to the treatment of refundable loans (accommodation bonds, refundable accommodation deposits and entry </w:t>
      </w:r>
      <w:r w:rsidRPr="00DF1525">
        <w:lastRenderedPageBreak/>
        <w:t>contributions) as current liabilities does not reflect the true liquidity of the approved provider as these liabilities are not likely to be repaid in the next 12 months.</w:t>
      </w:r>
    </w:p>
    <w:p w14:paraId="4F62C0B8" w14:textId="2EF86DDF" w:rsidR="00865EA8" w:rsidRPr="00DF1525" w:rsidRDefault="00865EA8" w:rsidP="00663EE1">
      <w:pPr>
        <w:pStyle w:val="ListBullet"/>
        <w:spacing w:before="120" w:after="120"/>
        <w:ind w:left="357" w:hanging="357"/>
      </w:pPr>
      <w:r w:rsidRPr="00DF1525">
        <w:t>If there is no parent entity, the total net assets must agree to the Consolidated Segment Report</w:t>
      </w:r>
      <w:r w:rsidR="001F7B57">
        <w:t xml:space="preserve"> (CSR)</w:t>
      </w:r>
      <w:r w:rsidRPr="00DF1525">
        <w:t xml:space="preserve"> residential segment net assets.</w:t>
      </w:r>
    </w:p>
    <w:p w14:paraId="1A883800" w14:textId="0B46CC58" w:rsidR="00865EA8" w:rsidRPr="00DF1525" w:rsidRDefault="00865EA8" w:rsidP="00663EE1">
      <w:pPr>
        <w:pStyle w:val="ListBullet"/>
        <w:spacing w:before="120" w:after="120"/>
        <w:ind w:left="357" w:hanging="357"/>
      </w:pPr>
      <w:r w:rsidRPr="00DF1525">
        <w:t>The opening balance of the residential segment equity must agree to the closing balance from the previous year (20</w:t>
      </w:r>
      <w:r w:rsidR="00B15F0A">
        <w:t>22-23</w:t>
      </w:r>
      <w:r w:rsidRPr="00DF1525">
        <w:t>) ACFR.</w:t>
      </w:r>
    </w:p>
    <w:p w14:paraId="76D913B7" w14:textId="77777777" w:rsidR="00865EA8" w:rsidRPr="00DF1525" w:rsidRDefault="00865EA8" w:rsidP="00663EE1">
      <w:pPr>
        <w:pStyle w:val="ListBullet"/>
        <w:spacing w:before="120" w:after="120"/>
        <w:ind w:left="357" w:hanging="357"/>
      </w:pPr>
      <w:r w:rsidRPr="00DF1525">
        <w:t>Other current assets is the balancing account to ensure that residential segment net assets agrees to the residential segment equity.</w:t>
      </w:r>
    </w:p>
    <w:p w14:paraId="00D64AC5" w14:textId="0AED42C0" w:rsidR="00865EA8" w:rsidRPr="00341487" w:rsidRDefault="00865EA8" w:rsidP="00865EA8">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Residential </w:t>
      </w:r>
      <w:r w:rsidR="00B15F0A" w:rsidRPr="00341487">
        <w:rPr>
          <w:rFonts w:eastAsiaTheme="majorEastAsia" w:cs="Arial"/>
          <w:b/>
          <w:bCs/>
          <w:color w:val="002060"/>
          <w:sz w:val="24"/>
          <w:szCs w:val="28"/>
        </w:rPr>
        <w:t>a</w:t>
      </w:r>
      <w:r w:rsidRPr="00341487">
        <w:rPr>
          <w:rFonts w:eastAsiaTheme="majorEastAsia" w:cs="Arial"/>
          <w:b/>
          <w:bCs/>
          <w:color w:val="002060"/>
          <w:sz w:val="24"/>
          <w:szCs w:val="28"/>
        </w:rPr>
        <w:t xml:space="preserve">ged </w:t>
      </w:r>
      <w:r w:rsidR="00B15F0A" w:rsidRPr="00341487">
        <w:rPr>
          <w:rFonts w:eastAsiaTheme="majorEastAsia" w:cs="Arial"/>
          <w:b/>
          <w:bCs/>
          <w:color w:val="002060"/>
          <w:sz w:val="24"/>
          <w:szCs w:val="28"/>
        </w:rPr>
        <w:t>c</w:t>
      </w:r>
      <w:r w:rsidRPr="00341487">
        <w:rPr>
          <w:rFonts w:eastAsiaTheme="majorEastAsia" w:cs="Arial"/>
          <w:b/>
          <w:bCs/>
          <w:color w:val="002060"/>
          <w:sz w:val="24"/>
          <w:szCs w:val="28"/>
        </w:rPr>
        <w:t xml:space="preserve">are </w:t>
      </w:r>
      <w:r w:rsidR="00B15F0A" w:rsidRPr="00341487">
        <w:rPr>
          <w:rFonts w:eastAsiaTheme="majorEastAsia" w:cs="Arial"/>
          <w:b/>
          <w:bCs/>
          <w:color w:val="002060"/>
          <w:sz w:val="24"/>
          <w:szCs w:val="28"/>
        </w:rPr>
        <w:t>h</w:t>
      </w:r>
      <w:r w:rsidRPr="00341487">
        <w:rPr>
          <w:rFonts w:eastAsiaTheme="majorEastAsia" w:cs="Arial"/>
          <w:b/>
          <w:bCs/>
          <w:color w:val="002060"/>
          <w:sz w:val="24"/>
          <w:szCs w:val="28"/>
        </w:rPr>
        <w:t xml:space="preserve">ome </w:t>
      </w:r>
      <w:r w:rsidR="00B15F0A" w:rsidRPr="00341487">
        <w:rPr>
          <w:rFonts w:eastAsiaTheme="majorEastAsia" w:cs="Arial"/>
          <w:b/>
          <w:bCs/>
          <w:color w:val="002060"/>
          <w:sz w:val="24"/>
          <w:szCs w:val="28"/>
        </w:rPr>
        <w:t>i</w:t>
      </w:r>
      <w:r w:rsidRPr="00341487">
        <w:rPr>
          <w:rFonts w:eastAsiaTheme="majorEastAsia" w:cs="Arial"/>
          <w:b/>
          <w:bCs/>
          <w:color w:val="002060"/>
          <w:sz w:val="24"/>
          <w:szCs w:val="28"/>
        </w:rPr>
        <w:t xml:space="preserve">ncome &amp; </w:t>
      </w:r>
      <w:r w:rsidR="00B15F0A" w:rsidRPr="00341487">
        <w:rPr>
          <w:rFonts w:eastAsiaTheme="majorEastAsia" w:cs="Arial"/>
          <w:b/>
          <w:bCs/>
          <w:color w:val="002060"/>
          <w:sz w:val="24"/>
          <w:szCs w:val="28"/>
        </w:rPr>
        <w:t>e</w:t>
      </w:r>
      <w:r w:rsidRPr="00341487">
        <w:rPr>
          <w:rFonts w:eastAsiaTheme="majorEastAsia" w:cs="Arial"/>
          <w:b/>
          <w:bCs/>
          <w:color w:val="002060"/>
          <w:sz w:val="24"/>
          <w:szCs w:val="28"/>
        </w:rPr>
        <w:t xml:space="preserve">xpenses </w:t>
      </w:r>
      <w:r w:rsidR="00B15F0A" w:rsidRPr="00341487">
        <w:rPr>
          <w:rFonts w:eastAsiaTheme="majorEastAsia" w:cs="Arial"/>
          <w:b/>
          <w:bCs/>
          <w:color w:val="002060"/>
          <w:sz w:val="24"/>
          <w:szCs w:val="28"/>
        </w:rPr>
        <w:t>s</w:t>
      </w:r>
      <w:r w:rsidRPr="00341487">
        <w:rPr>
          <w:rFonts w:eastAsiaTheme="majorEastAsia" w:cs="Arial"/>
          <w:b/>
          <w:bCs/>
          <w:color w:val="002060"/>
          <w:sz w:val="24"/>
          <w:szCs w:val="28"/>
        </w:rPr>
        <w:t>heets</w:t>
      </w:r>
    </w:p>
    <w:p w14:paraId="37FF21A3" w14:textId="4B26800A" w:rsidR="00865EA8" w:rsidRPr="00DF1525" w:rsidRDefault="00865EA8" w:rsidP="008E4263">
      <w:pPr>
        <w:pStyle w:val="ListBullet"/>
        <w:spacing w:before="120" w:after="120"/>
        <w:ind w:left="357" w:hanging="357"/>
      </w:pPr>
      <w:r w:rsidRPr="00DF1525">
        <w:t xml:space="preserve">These schedules must be completed for each aged care </w:t>
      </w:r>
      <w:r w:rsidR="00A62ECF">
        <w:t>facility</w:t>
      </w:r>
      <w:r w:rsidRPr="00DF1525">
        <w:t xml:space="preserve"> operated by the approved provider and has been pre-populated to include the Service ID(s) that constitute the services to be included.</w:t>
      </w:r>
    </w:p>
    <w:p w14:paraId="51BA3B4A" w14:textId="6AAF69C0" w:rsidR="00865EA8" w:rsidRPr="00DF1525" w:rsidRDefault="00865EA8" w:rsidP="008E4263">
      <w:pPr>
        <w:pStyle w:val="ListBullet"/>
        <w:spacing w:before="120" w:after="120"/>
        <w:ind w:left="357" w:hanging="357"/>
      </w:pPr>
      <w:r w:rsidRPr="00DF1525">
        <w:t xml:space="preserve">If there is no parent entity, the total residential aged care result must agree to the </w:t>
      </w:r>
      <w:r w:rsidR="001F7B57">
        <w:t>CSR</w:t>
      </w:r>
      <w:r w:rsidRPr="00DF1525">
        <w:t xml:space="preserve"> residential segment result.</w:t>
      </w:r>
    </w:p>
    <w:p w14:paraId="7081595A" w14:textId="77777777" w:rsidR="00865EA8" w:rsidRPr="00DF1525" w:rsidRDefault="00865EA8" w:rsidP="008E4263">
      <w:pPr>
        <w:pStyle w:val="ListBullet"/>
        <w:spacing w:before="120" w:after="120"/>
        <w:ind w:left="357" w:hanging="357"/>
      </w:pPr>
      <w:r w:rsidRPr="00DF1525">
        <w:t>Staff costs need to be accurately allocated to the respective care, hotel services, administration and maintenance segments.</w:t>
      </w:r>
    </w:p>
    <w:p w14:paraId="2D4DB8DF" w14:textId="77777777" w:rsidR="00865EA8" w:rsidRPr="00DF1525" w:rsidRDefault="00865EA8" w:rsidP="008E4263">
      <w:pPr>
        <w:pStyle w:val="ListBullet"/>
        <w:spacing w:before="120" w:after="120"/>
        <w:ind w:left="357" w:hanging="357"/>
      </w:pPr>
      <w:r w:rsidRPr="00DF1525">
        <w:t>Available bed days are the aggregate number of days for the year that were available for residents to occupy (allowing for off-line places, places not available due to refurbishment, normal ramping up of places for new/refurbished home).</w:t>
      </w:r>
    </w:p>
    <w:p w14:paraId="19BA2180" w14:textId="77777777" w:rsidR="00865EA8" w:rsidRPr="00DF1525" w:rsidRDefault="00865EA8" w:rsidP="008E4263">
      <w:pPr>
        <w:pStyle w:val="ListBullet"/>
        <w:spacing w:before="120" w:after="120"/>
        <w:ind w:left="357" w:hanging="357"/>
      </w:pPr>
      <w:r w:rsidRPr="00DF1525">
        <w:t>Occupied bed days are the aggregate of the actual number of bed days that a resident occupied the room during the year.</w:t>
      </w:r>
    </w:p>
    <w:p w14:paraId="14A3E0DA" w14:textId="59E726E2" w:rsidR="00865EA8" w:rsidRPr="00341487" w:rsidRDefault="00865EA8" w:rsidP="00865EA8">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Approved </w:t>
      </w:r>
      <w:r w:rsidR="00B15F0A" w:rsidRPr="00341487">
        <w:rPr>
          <w:rFonts w:eastAsiaTheme="majorEastAsia" w:cs="Arial"/>
          <w:b/>
          <w:bCs/>
          <w:color w:val="002060"/>
          <w:sz w:val="24"/>
          <w:szCs w:val="28"/>
        </w:rPr>
        <w:t>p</w:t>
      </w:r>
      <w:r w:rsidRPr="00341487">
        <w:rPr>
          <w:rFonts w:eastAsiaTheme="majorEastAsia" w:cs="Arial"/>
          <w:b/>
          <w:bCs/>
          <w:color w:val="002060"/>
          <w:sz w:val="24"/>
          <w:szCs w:val="28"/>
        </w:rPr>
        <w:t xml:space="preserve">rovider </w:t>
      </w:r>
      <w:r w:rsidR="00B15F0A" w:rsidRPr="00341487">
        <w:rPr>
          <w:rFonts w:eastAsiaTheme="majorEastAsia" w:cs="Arial"/>
          <w:b/>
          <w:bCs/>
          <w:color w:val="002060"/>
          <w:sz w:val="24"/>
          <w:szCs w:val="28"/>
        </w:rPr>
        <w:t>p</w:t>
      </w:r>
      <w:r w:rsidRPr="00341487">
        <w:rPr>
          <w:rFonts w:eastAsiaTheme="majorEastAsia" w:cs="Arial"/>
          <w:b/>
          <w:bCs/>
          <w:color w:val="002060"/>
          <w:sz w:val="24"/>
          <w:szCs w:val="28"/>
        </w:rPr>
        <w:t xml:space="preserve">ermitted </w:t>
      </w:r>
      <w:r w:rsidR="00B15F0A" w:rsidRPr="00341487">
        <w:rPr>
          <w:rFonts w:eastAsiaTheme="majorEastAsia" w:cs="Arial"/>
          <w:b/>
          <w:bCs/>
          <w:color w:val="002060"/>
          <w:sz w:val="24"/>
          <w:szCs w:val="28"/>
        </w:rPr>
        <w:t>u</w:t>
      </w:r>
      <w:r w:rsidRPr="00341487">
        <w:rPr>
          <w:rFonts w:eastAsiaTheme="majorEastAsia" w:cs="Arial"/>
          <w:b/>
          <w:bCs/>
          <w:color w:val="002060"/>
          <w:sz w:val="24"/>
          <w:szCs w:val="28"/>
        </w:rPr>
        <w:t xml:space="preserve">ses </w:t>
      </w:r>
      <w:r w:rsidR="00B15F0A" w:rsidRPr="00341487">
        <w:rPr>
          <w:rFonts w:eastAsiaTheme="majorEastAsia" w:cs="Arial"/>
          <w:b/>
          <w:bCs/>
          <w:color w:val="002060"/>
          <w:sz w:val="24"/>
          <w:szCs w:val="28"/>
        </w:rPr>
        <w:t>r</w:t>
      </w:r>
      <w:r w:rsidRPr="00341487">
        <w:rPr>
          <w:rFonts w:eastAsiaTheme="majorEastAsia" w:cs="Arial"/>
          <w:b/>
          <w:bCs/>
          <w:color w:val="002060"/>
          <w:sz w:val="24"/>
          <w:szCs w:val="28"/>
        </w:rPr>
        <w:t>econciliation</w:t>
      </w:r>
    </w:p>
    <w:p w14:paraId="6DF5CB42" w14:textId="46DB924E" w:rsidR="00865EA8" w:rsidRPr="00DF1525" w:rsidRDefault="00865EA8" w:rsidP="008E4263">
      <w:pPr>
        <w:pStyle w:val="ListBullet"/>
        <w:spacing w:before="120" w:after="120"/>
      </w:pPr>
      <w:r w:rsidRPr="00DF1525">
        <w:t xml:space="preserve">The APCS </w:t>
      </w:r>
      <w:r w:rsidR="00B15F0A">
        <w:t>p</w:t>
      </w:r>
      <w:r w:rsidRPr="00DF1525">
        <w:t xml:space="preserve">ermitted </w:t>
      </w:r>
      <w:r w:rsidR="00B15F0A">
        <w:t>u</w:t>
      </w:r>
      <w:r w:rsidRPr="00DF1525">
        <w:t xml:space="preserve">ses </w:t>
      </w:r>
      <w:r w:rsidR="00B15F0A">
        <w:t>r</w:t>
      </w:r>
      <w:r w:rsidRPr="00DF1525">
        <w:t>econciliation does not form part of the APCS and therefore does not need to be audited as part of the APCS audit.</w:t>
      </w:r>
    </w:p>
    <w:p w14:paraId="0983886F" w14:textId="77777777" w:rsidR="00865EA8" w:rsidRPr="00DF1525" w:rsidRDefault="00865EA8" w:rsidP="008E4263">
      <w:pPr>
        <w:pStyle w:val="ListBullet"/>
        <w:spacing w:before="120" w:after="120"/>
      </w:pPr>
      <w:r w:rsidRPr="00DF1525">
        <w:t>Division 52N of the Aged Care Act 1997 defines permitted uses and this is further regulated by Part 6 of the Fees and Payments Principles 2014 (No 2).</w:t>
      </w:r>
    </w:p>
    <w:p w14:paraId="1615BBB4" w14:textId="77777777" w:rsidR="00865EA8" w:rsidRDefault="00865EA8" w:rsidP="008E4263">
      <w:pPr>
        <w:pStyle w:val="ListBullet"/>
        <w:spacing w:before="120" w:after="120"/>
      </w:pPr>
      <w:r w:rsidRPr="00DF1525">
        <w:t>The Permitted Uses Reconciliation is intended to provide support that the RAD/Bond monies have been utilised in accordance with the above legislation.</w:t>
      </w:r>
    </w:p>
    <w:p w14:paraId="7B67AAFD" w14:textId="73F1FD03" w:rsidR="003A01B6" w:rsidRDefault="003A01B6" w:rsidP="008E4263">
      <w:pPr>
        <w:spacing w:line="240" w:lineRule="auto"/>
      </w:pPr>
      <w:r>
        <w:br w:type="page"/>
      </w:r>
    </w:p>
    <w:p w14:paraId="5ACEB6C4" w14:textId="1F2F504D" w:rsidR="00464732" w:rsidRPr="00837915" w:rsidRDefault="003A01B6" w:rsidP="00341487">
      <w:pPr>
        <w:pStyle w:val="Heading2"/>
        <w:rPr>
          <w:color w:val="002060"/>
        </w:rPr>
      </w:pPr>
      <w:bookmarkStart w:id="9" w:name="_Hlk81407672"/>
      <w:bookmarkEnd w:id="8"/>
      <w:r>
        <w:lastRenderedPageBreak/>
        <w:t xml:space="preserve">7.0 </w:t>
      </w:r>
      <w:r w:rsidR="00464732" w:rsidRPr="00837915">
        <w:t xml:space="preserve">Consolidated </w:t>
      </w:r>
      <w:r w:rsidR="00BF07F6">
        <w:t>S</w:t>
      </w:r>
      <w:r w:rsidR="00464732" w:rsidRPr="00837915">
        <w:t xml:space="preserve">egment </w:t>
      </w:r>
      <w:r w:rsidR="00BF07F6">
        <w:t>R</w:t>
      </w:r>
      <w:r w:rsidR="00464732" w:rsidRPr="00837915">
        <w:t>eport</w:t>
      </w:r>
      <w:r w:rsidR="00B15F0A">
        <w:t xml:space="preserve"> </w:t>
      </w:r>
      <w:r w:rsidR="00464732" w:rsidRPr="00837915">
        <w:t xml:space="preserve"> </w:t>
      </w:r>
    </w:p>
    <w:p w14:paraId="474656E4" w14:textId="370E51FA" w:rsidR="00464732" w:rsidRPr="00DF1525" w:rsidRDefault="00464732" w:rsidP="008E4263">
      <w:pPr>
        <w:pStyle w:val="ListBullet"/>
        <w:spacing w:before="120" w:after="120"/>
      </w:pPr>
      <w:r w:rsidRPr="00DF1525">
        <w:t xml:space="preserve">If the approved provider does not have a parent entity or group structure, the </w:t>
      </w:r>
      <w:r w:rsidR="00B15F0A">
        <w:t>C</w:t>
      </w:r>
      <w:r w:rsidR="008B7878">
        <w:t xml:space="preserve">onsolidated </w:t>
      </w:r>
      <w:r w:rsidR="00B15F0A">
        <w:t>S</w:t>
      </w:r>
      <w:r w:rsidR="008B7878">
        <w:t xml:space="preserve">egment </w:t>
      </w:r>
      <w:r w:rsidR="00B15F0A">
        <w:t>R</w:t>
      </w:r>
      <w:r w:rsidR="008B7878">
        <w:t>eport (CSR)</w:t>
      </w:r>
      <w:r w:rsidRPr="00DF1525">
        <w:t xml:space="preserve"> is to be completed at the approved provider level with the total segment result and total segment net assets needing to agree to the respective totals in the </w:t>
      </w:r>
      <w:r w:rsidR="0037441E">
        <w:t xml:space="preserve">approved provider </w:t>
      </w:r>
      <w:r w:rsidRPr="00DF1525">
        <w:t xml:space="preserve"> Income &amp; Expenditure Statement and </w:t>
      </w:r>
      <w:r w:rsidR="0037441E">
        <w:t>approved provider</w:t>
      </w:r>
      <w:r w:rsidRPr="00DF1525">
        <w:t xml:space="preserve"> Balance Sheet.</w:t>
      </w:r>
    </w:p>
    <w:p w14:paraId="708052ED" w14:textId="069C639C" w:rsidR="00464732" w:rsidRPr="00DF1525" w:rsidRDefault="00464732" w:rsidP="008E4263">
      <w:pPr>
        <w:pStyle w:val="ListBullet"/>
        <w:spacing w:before="120" w:after="120"/>
      </w:pPr>
      <w:r w:rsidRPr="00DF1525">
        <w:t xml:space="preserve">If the approved provider is part of a group and is not the parent entity of that group, the </w:t>
      </w:r>
      <w:r w:rsidR="00B15F0A">
        <w:t>CSR</w:t>
      </w:r>
      <w:r w:rsidRPr="00DF1525">
        <w:t xml:space="preserve"> needs to be completed at the ultimate parent entity level.</w:t>
      </w:r>
    </w:p>
    <w:p w14:paraId="05FA2FBC" w14:textId="24DA0870" w:rsidR="00464732" w:rsidRPr="00DF1525" w:rsidRDefault="00464732" w:rsidP="008E4263">
      <w:pPr>
        <w:pStyle w:val="ListBullet"/>
        <w:spacing w:before="120" w:after="120"/>
      </w:pPr>
      <w:r w:rsidRPr="00DF1525">
        <w:t xml:space="preserve">The </w:t>
      </w:r>
      <w:r w:rsidR="00B15F0A">
        <w:t>CSR</w:t>
      </w:r>
      <w:r w:rsidRPr="00DF1525">
        <w:t xml:space="preserve"> must be prepared in accordance with the recognition and measurement requirements as specified in AASB 8 Operating Segments.</w:t>
      </w:r>
    </w:p>
    <w:p w14:paraId="6A05E67B" w14:textId="1BA5DA56" w:rsidR="00464732" w:rsidRPr="00DF1525" w:rsidRDefault="00464732" w:rsidP="008E4263">
      <w:pPr>
        <w:pStyle w:val="ListBullet"/>
        <w:spacing w:before="120" w:after="120"/>
      </w:pPr>
      <w:r w:rsidRPr="00DF1525">
        <w:t xml:space="preserve">Where the approved provider does not have a parent entity and only delivers residential aged care, data </w:t>
      </w:r>
      <w:proofErr w:type="gramStart"/>
      <w:r w:rsidRPr="00DF1525">
        <w:t>entered into</w:t>
      </w:r>
      <w:proofErr w:type="gramEnd"/>
      <w:r w:rsidRPr="00DF1525">
        <w:t xml:space="preserve"> the </w:t>
      </w:r>
      <w:r w:rsidR="00B15F0A">
        <w:t>CSR</w:t>
      </w:r>
      <w:r w:rsidRPr="00DF1525">
        <w:t xml:space="preserve"> must agree with data entered into the </w:t>
      </w:r>
      <w:r w:rsidR="00B15F0A">
        <w:t>r</w:t>
      </w:r>
      <w:r w:rsidRPr="00DF1525">
        <w:t xml:space="preserve">esidential </w:t>
      </w:r>
      <w:r w:rsidR="00B15F0A">
        <w:t>a</w:t>
      </w:r>
      <w:r w:rsidRPr="00DF1525">
        <w:t xml:space="preserve">ged </w:t>
      </w:r>
      <w:r w:rsidR="00B15F0A">
        <w:t>c</w:t>
      </w:r>
      <w:r w:rsidRPr="00DF1525">
        <w:t xml:space="preserve">are </w:t>
      </w:r>
      <w:r w:rsidR="00B15F0A">
        <w:t>i</w:t>
      </w:r>
      <w:r w:rsidRPr="00DF1525">
        <w:t xml:space="preserve">ncome, </w:t>
      </w:r>
      <w:r w:rsidR="00B15F0A">
        <w:t>e</w:t>
      </w:r>
      <w:r w:rsidRPr="00DF1525">
        <w:t xml:space="preserve">xpense and </w:t>
      </w:r>
      <w:r w:rsidR="00B15F0A">
        <w:t>ba</w:t>
      </w:r>
      <w:r w:rsidRPr="00DF1525">
        <w:t xml:space="preserve">lance </w:t>
      </w:r>
      <w:r w:rsidR="00B15F0A">
        <w:t>s</w:t>
      </w:r>
      <w:r w:rsidRPr="00DF1525">
        <w:t>heet sections of the ACFR.</w:t>
      </w:r>
    </w:p>
    <w:p w14:paraId="7F67FCCF" w14:textId="64FE33F1" w:rsidR="00464732" w:rsidRDefault="00464732" w:rsidP="008E4263">
      <w:pPr>
        <w:pStyle w:val="ListBullet"/>
        <w:spacing w:before="120" w:after="120"/>
      </w:pPr>
      <w:r w:rsidRPr="00DF1525">
        <w:t>Community</w:t>
      </w:r>
      <w:r w:rsidRPr="00DF1525" w:rsidDel="00B15F0A">
        <w:t xml:space="preserve"> </w:t>
      </w:r>
      <w:r w:rsidR="00B15F0A">
        <w:t>s</w:t>
      </w:r>
      <w:r w:rsidRPr="00DF1525">
        <w:t>egment includes CHSP, DVA and other non-aged care community services including NDIS, children services and other community services.</w:t>
      </w:r>
    </w:p>
    <w:p w14:paraId="5330E145" w14:textId="20E37456" w:rsidR="003A01B6" w:rsidRDefault="003A01B6" w:rsidP="008E4263">
      <w:pPr>
        <w:spacing w:line="240" w:lineRule="auto"/>
      </w:pPr>
      <w:r>
        <w:br w:type="page"/>
      </w:r>
    </w:p>
    <w:p w14:paraId="3C196F09" w14:textId="07EE3760" w:rsidR="00AB40A7" w:rsidRDefault="003A01B6" w:rsidP="00341487">
      <w:pPr>
        <w:pStyle w:val="Heading2"/>
        <w:rPr>
          <w:color w:val="002060"/>
        </w:rPr>
      </w:pPr>
      <w:r>
        <w:lastRenderedPageBreak/>
        <w:t>8.0 A</w:t>
      </w:r>
      <w:r w:rsidR="00AB40A7">
        <w:t xml:space="preserve">pproved </w:t>
      </w:r>
      <w:r>
        <w:t>p</w:t>
      </w:r>
      <w:r w:rsidR="00AB40A7">
        <w:t>rovider reporting</w:t>
      </w:r>
    </w:p>
    <w:p w14:paraId="535A8244" w14:textId="00C7DDC9" w:rsidR="00D3425E" w:rsidRPr="007A2E54" w:rsidRDefault="00D3425E" w:rsidP="00837915">
      <w:pPr>
        <w:pStyle w:val="TOCHeading"/>
        <w:spacing w:before="240"/>
        <w:rPr>
          <w:rFonts w:ascii="Arial" w:hAnsi="Arial" w:cs="Arial"/>
          <w:color w:val="002060"/>
          <w:sz w:val="24"/>
          <w:szCs w:val="24"/>
        </w:rPr>
      </w:pPr>
      <w:r w:rsidRPr="007A2E54">
        <w:rPr>
          <w:rFonts w:ascii="Arial" w:hAnsi="Arial" w:cs="Arial"/>
          <w:color w:val="002060"/>
          <w:sz w:val="24"/>
          <w:szCs w:val="24"/>
        </w:rPr>
        <w:t xml:space="preserve">Approved </w:t>
      </w:r>
      <w:r w:rsidR="00B15F0A" w:rsidRPr="007A2E54">
        <w:rPr>
          <w:rFonts w:ascii="Arial" w:hAnsi="Arial" w:cs="Arial"/>
          <w:color w:val="002060"/>
          <w:sz w:val="24"/>
          <w:szCs w:val="24"/>
        </w:rPr>
        <w:t>p</w:t>
      </w:r>
      <w:r w:rsidRPr="007A2E54">
        <w:rPr>
          <w:rFonts w:ascii="Arial" w:hAnsi="Arial" w:cs="Arial"/>
          <w:color w:val="002060"/>
          <w:sz w:val="24"/>
          <w:szCs w:val="24"/>
        </w:rPr>
        <w:t xml:space="preserve">rovider </w:t>
      </w:r>
      <w:r w:rsidR="00077590">
        <w:rPr>
          <w:rFonts w:ascii="Arial" w:hAnsi="Arial" w:cs="Arial"/>
          <w:color w:val="002060"/>
          <w:sz w:val="24"/>
          <w:szCs w:val="24"/>
        </w:rPr>
        <w:t>I</w:t>
      </w:r>
      <w:r w:rsidRPr="007A2E54">
        <w:rPr>
          <w:rFonts w:ascii="Arial" w:hAnsi="Arial" w:cs="Arial"/>
          <w:color w:val="002060"/>
          <w:sz w:val="24"/>
          <w:szCs w:val="24"/>
        </w:rPr>
        <w:t xml:space="preserve">ncome </w:t>
      </w:r>
      <w:r w:rsidR="00B15F0A" w:rsidRPr="007A2E54">
        <w:rPr>
          <w:rFonts w:ascii="Arial" w:hAnsi="Arial" w:cs="Arial"/>
          <w:color w:val="002060"/>
          <w:sz w:val="24"/>
          <w:szCs w:val="24"/>
        </w:rPr>
        <w:t xml:space="preserve">and </w:t>
      </w:r>
      <w:r w:rsidR="00077590">
        <w:rPr>
          <w:rFonts w:ascii="Arial" w:hAnsi="Arial" w:cs="Arial"/>
          <w:color w:val="002060"/>
          <w:sz w:val="24"/>
          <w:szCs w:val="24"/>
        </w:rPr>
        <w:t>E</w:t>
      </w:r>
      <w:r w:rsidRPr="007A2E54">
        <w:rPr>
          <w:rFonts w:ascii="Arial" w:hAnsi="Arial" w:cs="Arial"/>
          <w:color w:val="002060"/>
          <w:sz w:val="24"/>
          <w:szCs w:val="24"/>
        </w:rPr>
        <w:t xml:space="preserve">xpenditure </w:t>
      </w:r>
      <w:r w:rsidR="00077590">
        <w:rPr>
          <w:rFonts w:ascii="Arial" w:hAnsi="Arial" w:cs="Arial"/>
          <w:color w:val="002060"/>
          <w:sz w:val="24"/>
          <w:szCs w:val="24"/>
        </w:rPr>
        <w:t>S</w:t>
      </w:r>
      <w:r w:rsidRPr="007A2E54">
        <w:rPr>
          <w:rFonts w:ascii="Arial" w:hAnsi="Arial" w:cs="Arial"/>
          <w:color w:val="002060"/>
          <w:sz w:val="24"/>
          <w:szCs w:val="24"/>
        </w:rPr>
        <w:t>tatement</w:t>
      </w:r>
    </w:p>
    <w:p w14:paraId="5244484A" w14:textId="17AF7EF2" w:rsidR="00D3425E" w:rsidRPr="00DF1525" w:rsidRDefault="00D3425E" w:rsidP="008E4263">
      <w:pPr>
        <w:pStyle w:val="ListBullet"/>
        <w:spacing w:before="120" w:after="120"/>
        <w:ind w:left="357" w:hanging="357"/>
      </w:pPr>
      <w:r w:rsidRPr="00DF1525">
        <w:t xml:space="preserve">The format of the </w:t>
      </w:r>
      <w:r w:rsidR="00CB55AD">
        <w:t>a</w:t>
      </w:r>
      <w:r w:rsidRPr="00DF1525">
        <w:t xml:space="preserve">pproved </w:t>
      </w:r>
      <w:r w:rsidR="00B15F0A">
        <w:t>p</w:t>
      </w:r>
      <w:r w:rsidRPr="00DF1525">
        <w:t xml:space="preserve">rovider </w:t>
      </w:r>
      <w:r w:rsidR="00077590">
        <w:t>I</w:t>
      </w:r>
      <w:r w:rsidRPr="00DF1525">
        <w:t xml:space="preserve">ncome </w:t>
      </w:r>
      <w:r w:rsidR="00B15F0A">
        <w:t xml:space="preserve">and </w:t>
      </w:r>
      <w:r w:rsidR="00077590">
        <w:t>E</w:t>
      </w:r>
      <w:r w:rsidRPr="00DF1525">
        <w:t xml:space="preserve">xpenditure </w:t>
      </w:r>
      <w:r w:rsidR="00077590">
        <w:t>S</w:t>
      </w:r>
      <w:r w:rsidRPr="00DF1525">
        <w:t xml:space="preserve">tatement is </w:t>
      </w:r>
      <w:proofErr w:type="gramStart"/>
      <w:r w:rsidRPr="00DF1525">
        <w:t>similar to</w:t>
      </w:r>
      <w:proofErr w:type="gramEnd"/>
      <w:r w:rsidRPr="00DF1525">
        <w:t xml:space="preserve"> the </w:t>
      </w:r>
      <w:r w:rsidR="00B15F0A">
        <w:t>s</w:t>
      </w:r>
      <w:r w:rsidRPr="00DF1525">
        <w:t xml:space="preserve">tatement of </w:t>
      </w:r>
      <w:r w:rsidR="00B15F0A">
        <w:t>p</w:t>
      </w:r>
      <w:r w:rsidRPr="00DF1525">
        <w:t xml:space="preserve">rofit or </w:t>
      </w:r>
      <w:r w:rsidR="00B15F0A">
        <w:t>l</w:t>
      </w:r>
      <w:r w:rsidRPr="00DF1525">
        <w:t xml:space="preserve">oss and </w:t>
      </w:r>
      <w:r w:rsidR="00B15F0A">
        <w:t>o</w:t>
      </w:r>
      <w:r w:rsidRPr="00DF1525">
        <w:t xml:space="preserve">ther </w:t>
      </w:r>
      <w:r w:rsidR="00B15F0A">
        <w:t>c</w:t>
      </w:r>
      <w:r w:rsidRPr="00DF1525">
        <w:t xml:space="preserve">omprehensive </w:t>
      </w:r>
      <w:r w:rsidR="00B15F0A">
        <w:t>i</w:t>
      </w:r>
      <w:r w:rsidRPr="00DF1525">
        <w:t xml:space="preserve">ncome as included in </w:t>
      </w:r>
      <w:r w:rsidR="00513B94">
        <w:t>an</w:t>
      </w:r>
      <w:r w:rsidRPr="00DF1525">
        <w:t xml:space="preserve"> organisations GPFS.</w:t>
      </w:r>
    </w:p>
    <w:p w14:paraId="209613B4" w14:textId="1FDC4C0B" w:rsidR="00D3425E" w:rsidRPr="00DF1525" w:rsidRDefault="00D3425E" w:rsidP="008E4263">
      <w:pPr>
        <w:pStyle w:val="ListBullet"/>
        <w:spacing w:before="120" w:after="120"/>
        <w:ind w:left="357" w:hanging="357"/>
      </w:pPr>
      <w:r w:rsidRPr="00DF1525">
        <w:t xml:space="preserve">Operating </w:t>
      </w:r>
      <w:r w:rsidR="00B15F0A">
        <w:t>i</w:t>
      </w:r>
      <w:r w:rsidRPr="00DF1525">
        <w:t>ncome includes all recurrent operating revenue for all normal operations of the approved provider.</w:t>
      </w:r>
    </w:p>
    <w:p w14:paraId="387EAB8B" w14:textId="77777777" w:rsidR="00D3425E" w:rsidRPr="00DF1525" w:rsidRDefault="00D3425E" w:rsidP="008E4263">
      <w:pPr>
        <w:pStyle w:val="ListBullet"/>
        <w:spacing w:before="120" w:after="120"/>
        <w:ind w:left="357" w:hanging="357"/>
      </w:pPr>
      <w:r w:rsidRPr="00DF1525">
        <w:t>All rent and management fees shown as expense items by residential aged providers require additional disclosure in Note 1 (“Sub-Contract arrangements”).</w:t>
      </w:r>
    </w:p>
    <w:p w14:paraId="6E87D473" w14:textId="77777777" w:rsidR="00D3425E" w:rsidRPr="00DF1525" w:rsidRDefault="00D3425E" w:rsidP="008E4263">
      <w:pPr>
        <w:pStyle w:val="ListBullet"/>
        <w:spacing w:before="120" w:after="120"/>
        <w:ind w:left="357" w:hanging="357"/>
      </w:pPr>
      <w:r w:rsidRPr="00DF1525">
        <w:t>All material other income and other expense items reported by residential aged care providers must be separately disclosed in Note 1 of the ACFR (a materiality guide is items over 2% of total income or total expenses).</w:t>
      </w:r>
    </w:p>
    <w:p w14:paraId="6BEE41A0" w14:textId="33C12FA4" w:rsidR="00D3425E" w:rsidRPr="007A2E54" w:rsidRDefault="00D3425E" w:rsidP="00837915">
      <w:pPr>
        <w:pStyle w:val="TOCHeading"/>
        <w:spacing w:before="240"/>
        <w:rPr>
          <w:rFonts w:ascii="Arial" w:hAnsi="Arial" w:cs="Arial"/>
          <w:color w:val="002060"/>
          <w:sz w:val="24"/>
          <w:szCs w:val="24"/>
        </w:rPr>
      </w:pPr>
      <w:bookmarkStart w:id="10" w:name="_Hlk81471457"/>
      <w:bookmarkEnd w:id="9"/>
      <w:r w:rsidRPr="007A2E54">
        <w:rPr>
          <w:rFonts w:ascii="Arial" w:hAnsi="Arial" w:cs="Arial"/>
          <w:color w:val="002060"/>
          <w:sz w:val="24"/>
          <w:szCs w:val="24"/>
        </w:rPr>
        <w:t xml:space="preserve">Approved </w:t>
      </w:r>
      <w:r w:rsidR="00B15F0A" w:rsidRPr="007A2E54">
        <w:rPr>
          <w:rFonts w:ascii="Arial" w:hAnsi="Arial" w:cs="Arial"/>
          <w:color w:val="002060"/>
          <w:sz w:val="24"/>
          <w:szCs w:val="24"/>
        </w:rPr>
        <w:t>p</w:t>
      </w:r>
      <w:r w:rsidRPr="007A2E54">
        <w:rPr>
          <w:rFonts w:ascii="Arial" w:hAnsi="Arial" w:cs="Arial"/>
          <w:color w:val="002060"/>
          <w:sz w:val="24"/>
          <w:szCs w:val="24"/>
        </w:rPr>
        <w:t xml:space="preserve">rovider </w:t>
      </w:r>
      <w:r w:rsidR="00B15F0A" w:rsidRPr="007A2E54">
        <w:rPr>
          <w:rFonts w:ascii="Arial" w:hAnsi="Arial" w:cs="Arial"/>
          <w:color w:val="002060"/>
          <w:sz w:val="24"/>
          <w:szCs w:val="24"/>
        </w:rPr>
        <w:t>B</w:t>
      </w:r>
      <w:r w:rsidRPr="007A2E54">
        <w:rPr>
          <w:rFonts w:ascii="Arial" w:hAnsi="Arial" w:cs="Arial"/>
          <w:color w:val="002060"/>
          <w:sz w:val="24"/>
          <w:szCs w:val="24"/>
        </w:rPr>
        <w:t xml:space="preserve">alance </w:t>
      </w:r>
      <w:r w:rsidR="00B15F0A" w:rsidRPr="007A2E54">
        <w:rPr>
          <w:rFonts w:ascii="Arial" w:hAnsi="Arial" w:cs="Arial"/>
          <w:color w:val="002060"/>
          <w:sz w:val="24"/>
          <w:szCs w:val="24"/>
        </w:rPr>
        <w:t>S</w:t>
      </w:r>
      <w:r w:rsidRPr="007A2E54">
        <w:rPr>
          <w:rFonts w:ascii="Arial" w:hAnsi="Arial" w:cs="Arial"/>
          <w:color w:val="002060"/>
          <w:sz w:val="24"/>
          <w:szCs w:val="24"/>
        </w:rPr>
        <w:t>heet</w:t>
      </w:r>
    </w:p>
    <w:p w14:paraId="2E588F16" w14:textId="16DC0C63" w:rsidR="00D3425E" w:rsidRPr="00DF1525" w:rsidRDefault="00D3425E" w:rsidP="008E4263">
      <w:pPr>
        <w:pStyle w:val="ListBullet"/>
        <w:spacing w:before="120" w:after="120"/>
        <w:ind w:left="357" w:hanging="357"/>
      </w:pPr>
      <w:r w:rsidRPr="00DF1525">
        <w:t xml:space="preserve">The disclosures of the </w:t>
      </w:r>
      <w:r w:rsidR="00B15F0A">
        <w:t xml:space="preserve">approved provider </w:t>
      </w:r>
      <w:r w:rsidR="00BF07F6">
        <w:t>B</w:t>
      </w:r>
      <w:r w:rsidR="00B15F0A">
        <w:t xml:space="preserve">alance </w:t>
      </w:r>
      <w:r w:rsidR="00BF07F6">
        <w:t>S</w:t>
      </w:r>
      <w:r w:rsidR="00B15F0A">
        <w:t xml:space="preserve">heet </w:t>
      </w:r>
      <w:r w:rsidRPr="00DF1525">
        <w:t xml:space="preserve">is </w:t>
      </w:r>
      <w:proofErr w:type="gramStart"/>
      <w:r w:rsidRPr="00DF1525">
        <w:t>similar to</w:t>
      </w:r>
      <w:proofErr w:type="gramEnd"/>
      <w:r w:rsidRPr="00DF1525">
        <w:t xml:space="preserve"> the Statement of Financial Position as included in </w:t>
      </w:r>
      <w:r w:rsidR="00A120F8">
        <w:t>an</w:t>
      </w:r>
      <w:r w:rsidRPr="00DF1525">
        <w:t xml:space="preserve"> organisations GPFS.</w:t>
      </w:r>
    </w:p>
    <w:p w14:paraId="1676117E" w14:textId="5508AB4C" w:rsidR="00D3425E" w:rsidRPr="00DF1525" w:rsidRDefault="00D3425E" w:rsidP="008E4263">
      <w:pPr>
        <w:pStyle w:val="ListBullet"/>
        <w:spacing w:before="120" w:after="120"/>
        <w:ind w:left="357" w:hanging="357"/>
      </w:pPr>
      <w:r w:rsidRPr="00DF1525">
        <w:t xml:space="preserve">The </w:t>
      </w:r>
      <w:r w:rsidR="00B15F0A">
        <w:t>d</w:t>
      </w:r>
      <w:r w:rsidRPr="00DF1525">
        <w:t>epartment has adopted the liquidity format balance sheet due to the treatment of refundable loans (accommodation bonds, refundable accommodation deposits and entry contributions) as current liabilities does not reflect the true liquidity of the approved provider as these liabilities are not likely to be repaid in the next 12 months.</w:t>
      </w:r>
    </w:p>
    <w:p w14:paraId="4A89C1B9" w14:textId="77777777" w:rsidR="00D3425E" w:rsidRPr="00DF1525" w:rsidRDefault="00D3425E" w:rsidP="008E4263">
      <w:pPr>
        <w:pStyle w:val="ListBullet"/>
        <w:spacing w:before="120" w:after="120"/>
        <w:ind w:left="357" w:hanging="357"/>
      </w:pPr>
      <w:r w:rsidRPr="00DF1525">
        <w:t>Residential aged care providers reporting any material change in an asset or liability disclosure as compared to the previous year must be separately disclosed in Note 1 of the ACFR (a materiality guide is a change in value of over 50%)</w:t>
      </w:r>
    </w:p>
    <w:bookmarkEnd w:id="10"/>
    <w:p w14:paraId="21D9C3D4" w14:textId="299CB33A" w:rsidR="00D3425E" w:rsidRPr="007A2E54" w:rsidRDefault="00D3425E" w:rsidP="00837915">
      <w:pPr>
        <w:pStyle w:val="TOCHeading"/>
        <w:spacing w:before="240"/>
        <w:rPr>
          <w:rFonts w:ascii="Arial" w:hAnsi="Arial" w:cs="Arial"/>
          <w:color w:val="002060"/>
          <w:sz w:val="24"/>
          <w:szCs w:val="24"/>
        </w:rPr>
      </w:pPr>
      <w:r w:rsidRPr="007A2E54">
        <w:rPr>
          <w:rFonts w:ascii="Arial" w:hAnsi="Arial" w:cs="Arial"/>
          <w:color w:val="002060"/>
          <w:sz w:val="24"/>
          <w:szCs w:val="24"/>
        </w:rPr>
        <w:t xml:space="preserve">Approved </w:t>
      </w:r>
      <w:r w:rsidR="00B15F0A" w:rsidRPr="007A2E54">
        <w:rPr>
          <w:rFonts w:ascii="Arial" w:hAnsi="Arial" w:cs="Arial"/>
          <w:color w:val="002060"/>
          <w:sz w:val="24"/>
          <w:szCs w:val="24"/>
        </w:rPr>
        <w:t>p</w:t>
      </w:r>
      <w:r w:rsidRPr="007A2E54">
        <w:rPr>
          <w:rFonts w:ascii="Arial" w:hAnsi="Arial" w:cs="Arial"/>
          <w:color w:val="002060"/>
          <w:sz w:val="24"/>
          <w:szCs w:val="24"/>
        </w:rPr>
        <w:t>rovider Cash Flow Statement</w:t>
      </w:r>
    </w:p>
    <w:p w14:paraId="3A3A6BE4" w14:textId="6C77C4C3" w:rsidR="00D3425E" w:rsidRPr="00DF1525" w:rsidRDefault="00D3425E" w:rsidP="008E4263">
      <w:pPr>
        <w:pStyle w:val="ListBullet"/>
        <w:spacing w:before="120" w:after="120"/>
        <w:ind w:left="357" w:hanging="357"/>
      </w:pPr>
      <w:r w:rsidRPr="00DF1525">
        <w:t xml:space="preserve">The format of the </w:t>
      </w:r>
      <w:r w:rsidR="009B233E">
        <w:t>approved provider</w:t>
      </w:r>
      <w:r w:rsidRPr="00DF1525">
        <w:t xml:space="preserve"> Cash Flow Statement in </w:t>
      </w:r>
      <w:proofErr w:type="gramStart"/>
      <w:r w:rsidRPr="00DF1525">
        <w:t>similar to</w:t>
      </w:r>
      <w:proofErr w:type="gramEnd"/>
      <w:r w:rsidRPr="00DF1525">
        <w:t xml:space="preserve"> the Statement of Cash Flows as included in </w:t>
      </w:r>
      <w:r w:rsidR="00A120F8">
        <w:t>an</w:t>
      </w:r>
      <w:r w:rsidRPr="00DF1525">
        <w:t xml:space="preserve"> organisations GPFS.</w:t>
      </w:r>
    </w:p>
    <w:p w14:paraId="6E49D56E" w14:textId="77777777" w:rsidR="00D3425E" w:rsidRPr="00DF1525" w:rsidRDefault="00D3425E" w:rsidP="008E4263">
      <w:pPr>
        <w:pStyle w:val="ListBullet"/>
        <w:spacing w:before="120" w:after="120"/>
        <w:ind w:left="357" w:hanging="357"/>
      </w:pPr>
      <w:r w:rsidRPr="00DF1525">
        <w:t>All balances must be shown as GST inclusive.</w:t>
      </w:r>
    </w:p>
    <w:p w14:paraId="218DC15E" w14:textId="6E768358" w:rsidR="00D3425E" w:rsidRPr="00DF1525" w:rsidRDefault="00D3425E" w:rsidP="008E4263">
      <w:pPr>
        <w:pStyle w:val="ListBullet"/>
        <w:spacing w:before="120" w:after="120"/>
        <w:ind w:left="357" w:hanging="357"/>
      </w:pPr>
      <w:r w:rsidRPr="00DF1525">
        <w:t xml:space="preserve">Refundable loan receipts and payments must be disclosed as a </w:t>
      </w:r>
      <w:r w:rsidR="009B233E">
        <w:t>f</w:t>
      </w:r>
      <w:r w:rsidRPr="00DF1525">
        <w:t xml:space="preserve">inancing </w:t>
      </w:r>
      <w:r w:rsidR="009B233E">
        <w:t>c</w:t>
      </w:r>
      <w:r w:rsidRPr="00DF1525">
        <w:t xml:space="preserve">ash </w:t>
      </w:r>
      <w:r w:rsidR="009B233E">
        <w:t>f</w:t>
      </w:r>
      <w:r w:rsidRPr="00DF1525">
        <w:t xml:space="preserve">low (as distinct from an </w:t>
      </w:r>
      <w:r w:rsidR="00BF07F6">
        <w:t>o</w:t>
      </w:r>
      <w:r w:rsidRPr="00DF1525">
        <w:t xml:space="preserve">perating </w:t>
      </w:r>
      <w:r w:rsidR="00BF07F6">
        <w:t>c</w:t>
      </w:r>
      <w:r w:rsidRPr="00DF1525">
        <w:t xml:space="preserve">ash </w:t>
      </w:r>
      <w:r w:rsidR="00BF07F6">
        <w:t>f</w:t>
      </w:r>
      <w:r w:rsidRPr="00DF1525">
        <w:t>low).</w:t>
      </w:r>
    </w:p>
    <w:p w14:paraId="563FF5E9" w14:textId="6DDD55B0"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C15F12">
        <w:rPr>
          <w:rFonts w:ascii="Arial" w:hAnsi="Arial" w:cs="Arial"/>
          <w:color w:val="002060"/>
          <w:sz w:val="24"/>
          <w:szCs w:val="24"/>
        </w:rPr>
        <w:t>N</w:t>
      </w:r>
      <w:r w:rsidRPr="00341487">
        <w:rPr>
          <w:rFonts w:ascii="Arial" w:hAnsi="Arial" w:cs="Arial"/>
          <w:color w:val="002060"/>
          <w:sz w:val="24"/>
          <w:szCs w:val="24"/>
        </w:rPr>
        <w:t>ote 1 to the A</w:t>
      </w:r>
      <w:r w:rsidR="00077590">
        <w:rPr>
          <w:rFonts w:ascii="Arial" w:hAnsi="Arial" w:cs="Arial"/>
          <w:color w:val="002060"/>
          <w:sz w:val="24"/>
          <w:szCs w:val="24"/>
        </w:rPr>
        <w:t xml:space="preserve">ged </w:t>
      </w:r>
      <w:r w:rsidRPr="00341487">
        <w:rPr>
          <w:rFonts w:ascii="Arial" w:hAnsi="Arial" w:cs="Arial"/>
          <w:color w:val="002060"/>
          <w:sz w:val="24"/>
          <w:szCs w:val="24"/>
        </w:rPr>
        <w:t>C</w:t>
      </w:r>
      <w:r w:rsidR="00077590">
        <w:rPr>
          <w:rFonts w:ascii="Arial" w:hAnsi="Arial" w:cs="Arial"/>
          <w:color w:val="002060"/>
          <w:sz w:val="24"/>
          <w:szCs w:val="24"/>
        </w:rPr>
        <w:t xml:space="preserve">are </w:t>
      </w:r>
      <w:r w:rsidRPr="00341487">
        <w:rPr>
          <w:rFonts w:ascii="Arial" w:hAnsi="Arial" w:cs="Arial"/>
          <w:color w:val="002060"/>
          <w:sz w:val="24"/>
          <w:szCs w:val="24"/>
        </w:rPr>
        <w:t>F</w:t>
      </w:r>
      <w:r w:rsidR="00077590">
        <w:rPr>
          <w:rFonts w:ascii="Arial" w:hAnsi="Arial" w:cs="Arial"/>
          <w:color w:val="002060"/>
          <w:sz w:val="24"/>
          <w:szCs w:val="24"/>
        </w:rPr>
        <w:t xml:space="preserve">inancial </w:t>
      </w:r>
      <w:r w:rsidRPr="00341487">
        <w:rPr>
          <w:rFonts w:ascii="Arial" w:hAnsi="Arial" w:cs="Arial"/>
          <w:color w:val="002060"/>
          <w:sz w:val="24"/>
          <w:szCs w:val="24"/>
        </w:rPr>
        <w:t>R</w:t>
      </w:r>
      <w:r w:rsidR="00077590">
        <w:rPr>
          <w:rFonts w:ascii="Arial" w:hAnsi="Arial" w:cs="Arial"/>
          <w:color w:val="002060"/>
          <w:sz w:val="24"/>
          <w:szCs w:val="24"/>
        </w:rPr>
        <w:t>eport</w:t>
      </w:r>
      <w:r w:rsidRPr="00341487">
        <w:rPr>
          <w:rFonts w:ascii="Arial" w:hAnsi="Arial" w:cs="Arial"/>
          <w:color w:val="002060"/>
          <w:sz w:val="24"/>
          <w:szCs w:val="24"/>
        </w:rPr>
        <w:t xml:space="preserve"> (</w:t>
      </w:r>
      <w:r w:rsidR="009B233E" w:rsidRPr="00341487">
        <w:rPr>
          <w:rFonts w:ascii="Arial" w:hAnsi="Arial" w:cs="Arial"/>
          <w:color w:val="002060"/>
          <w:sz w:val="24"/>
          <w:szCs w:val="24"/>
        </w:rPr>
        <w:t>r</w:t>
      </w:r>
      <w:r w:rsidRPr="00341487">
        <w:rPr>
          <w:rFonts w:ascii="Arial" w:hAnsi="Arial" w:cs="Arial"/>
          <w:color w:val="002060"/>
          <w:sz w:val="24"/>
          <w:szCs w:val="24"/>
        </w:rPr>
        <w:t xml:space="preserve">esidential </w:t>
      </w:r>
      <w:r w:rsidR="009B233E" w:rsidRPr="00341487">
        <w:rPr>
          <w:rFonts w:ascii="Arial" w:hAnsi="Arial" w:cs="Arial"/>
          <w:color w:val="002060"/>
          <w:sz w:val="24"/>
          <w:szCs w:val="24"/>
        </w:rPr>
        <w:t>a</w:t>
      </w:r>
      <w:r w:rsidRPr="00341487">
        <w:rPr>
          <w:rFonts w:ascii="Arial" w:hAnsi="Arial" w:cs="Arial"/>
          <w:color w:val="002060"/>
          <w:sz w:val="24"/>
          <w:szCs w:val="24"/>
        </w:rPr>
        <w:t xml:space="preserve">ged </w:t>
      </w:r>
      <w:r w:rsidR="009B233E" w:rsidRPr="00341487">
        <w:rPr>
          <w:rFonts w:ascii="Arial" w:hAnsi="Arial" w:cs="Arial"/>
          <w:color w:val="002060"/>
          <w:sz w:val="24"/>
          <w:szCs w:val="24"/>
        </w:rPr>
        <w:t>c</w:t>
      </w:r>
      <w:r w:rsidRPr="00341487">
        <w:rPr>
          <w:rFonts w:ascii="Arial" w:hAnsi="Arial" w:cs="Arial"/>
          <w:color w:val="002060"/>
          <w:sz w:val="24"/>
          <w:szCs w:val="24"/>
        </w:rPr>
        <w:t xml:space="preserve">are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roviders </w:t>
      </w:r>
      <w:r w:rsidR="009B233E" w:rsidRPr="00341487">
        <w:rPr>
          <w:rFonts w:ascii="Arial" w:hAnsi="Arial" w:cs="Arial"/>
          <w:color w:val="002060"/>
          <w:sz w:val="24"/>
          <w:szCs w:val="24"/>
        </w:rPr>
        <w:t>o</w:t>
      </w:r>
      <w:r w:rsidRPr="00341487">
        <w:rPr>
          <w:rFonts w:ascii="Arial" w:hAnsi="Arial" w:cs="Arial"/>
          <w:color w:val="002060"/>
          <w:sz w:val="24"/>
          <w:szCs w:val="24"/>
        </w:rPr>
        <w:t>nly)</w:t>
      </w:r>
    </w:p>
    <w:p w14:paraId="6EC9BF69" w14:textId="12F3F77E" w:rsidR="00D3425E" w:rsidRPr="00DF1525" w:rsidRDefault="00D3425E" w:rsidP="008E4263">
      <w:pPr>
        <w:pStyle w:val="ListBullet"/>
        <w:spacing w:before="120" w:after="120"/>
        <w:ind w:left="357" w:hanging="357"/>
      </w:pPr>
      <w:r w:rsidRPr="00DF1525">
        <w:t xml:space="preserve">The </w:t>
      </w:r>
      <w:r w:rsidR="00C15F12">
        <w:t>N</w:t>
      </w:r>
      <w:r w:rsidRPr="00DF1525">
        <w:t>ote 1 disclosures must include all additional explanatory information as required.</w:t>
      </w:r>
    </w:p>
    <w:p w14:paraId="4CC12232" w14:textId="77777777" w:rsidR="00D3425E" w:rsidRPr="00DF1525" w:rsidRDefault="00D3425E" w:rsidP="008E4263">
      <w:pPr>
        <w:pStyle w:val="ListBullet"/>
        <w:spacing w:before="120" w:after="120"/>
        <w:ind w:left="357" w:hanging="357"/>
      </w:pPr>
      <w:r w:rsidRPr="00DF1525">
        <w:t>If supporting documentation is required to support any disclosure, please include the documentation with the lodgement.</w:t>
      </w:r>
    </w:p>
    <w:p w14:paraId="2849A62B" w14:textId="33BD333A"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f</w:t>
      </w:r>
      <w:r w:rsidRPr="00341487">
        <w:rPr>
          <w:rFonts w:ascii="Arial" w:hAnsi="Arial" w:cs="Arial"/>
          <w:color w:val="002060"/>
          <w:sz w:val="24"/>
          <w:szCs w:val="24"/>
        </w:rPr>
        <w:t xml:space="preserve">inancial </w:t>
      </w:r>
      <w:r w:rsidR="009B233E" w:rsidRPr="00341487">
        <w:rPr>
          <w:rFonts w:ascii="Arial" w:hAnsi="Arial" w:cs="Arial"/>
          <w:color w:val="002060"/>
          <w:sz w:val="24"/>
          <w:szCs w:val="24"/>
        </w:rPr>
        <w:t>a</w:t>
      </w:r>
      <w:r w:rsidRPr="00341487">
        <w:rPr>
          <w:rFonts w:ascii="Arial" w:hAnsi="Arial" w:cs="Arial"/>
          <w:color w:val="002060"/>
          <w:sz w:val="24"/>
          <w:szCs w:val="24"/>
        </w:rPr>
        <w:t>ssets</w:t>
      </w:r>
    </w:p>
    <w:p w14:paraId="2C787678" w14:textId="7C62F74E" w:rsidR="00D3425E" w:rsidRPr="00DF1525" w:rsidRDefault="00D3425E" w:rsidP="008E4263">
      <w:pPr>
        <w:pStyle w:val="ListBullet"/>
        <w:spacing w:before="120" w:after="120"/>
        <w:ind w:left="357" w:hanging="357"/>
      </w:pPr>
      <w:r w:rsidRPr="00DF1525">
        <w:t xml:space="preserve">Financial </w:t>
      </w:r>
      <w:r w:rsidR="009B233E">
        <w:t>a</w:t>
      </w:r>
      <w:r w:rsidRPr="00DF1525">
        <w:t>ssets must be disclosed in accordance with AASB 9 Financial Instruments.</w:t>
      </w:r>
    </w:p>
    <w:p w14:paraId="2465B1F0" w14:textId="3C60401E" w:rsidR="00D3425E" w:rsidRPr="00DF1525" w:rsidRDefault="00D3425E" w:rsidP="008E4263">
      <w:pPr>
        <w:pStyle w:val="ListBullet"/>
        <w:spacing w:before="120" w:after="120"/>
        <w:ind w:left="357" w:hanging="357"/>
      </w:pPr>
      <w:r w:rsidRPr="00DF1525">
        <w:lastRenderedPageBreak/>
        <w:t>Related party loans should not be disclosed as a financial asset. Only a related party investment which is not in the form of a loan but an interest</w:t>
      </w:r>
      <w:r w:rsidR="00F02579">
        <w:t>-</w:t>
      </w:r>
      <w:r w:rsidRPr="00DF1525">
        <w:t>bearing investment with similar attributes to an arms-length financial asset may be included with details of this investment noted.</w:t>
      </w:r>
    </w:p>
    <w:p w14:paraId="6C67FD95" w14:textId="28AE34B8" w:rsidR="00D3425E" w:rsidRPr="00DF1525" w:rsidRDefault="00D3425E" w:rsidP="008E4263">
      <w:pPr>
        <w:pStyle w:val="ListBullet"/>
        <w:spacing w:before="120" w:after="120"/>
        <w:ind w:left="357" w:hanging="357"/>
      </w:pPr>
      <w:r w:rsidRPr="00DF1525">
        <w:t xml:space="preserve">The </w:t>
      </w:r>
      <w:r w:rsidR="009B233E">
        <w:t>d</w:t>
      </w:r>
      <w:r w:rsidRPr="00DF1525">
        <w:t xml:space="preserve">ata should be sourced from </w:t>
      </w:r>
      <w:r w:rsidR="00A566F3">
        <w:t>an</w:t>
      </w:r>
      <w:r w:rsidRPr="00DF1525">
        <w:t xml:space="preserve"> organisation’s</w:t>
      </w:r>
      <w:r w:rsidRPr="00DF1525" w:rsidDel="009B233E">
        <w:t xml:space="preserve"> </w:t>
      </w:r>
      <w:r w:rsidR="009B233E">
        <w:t xml:space="preserve">GPFS </w:t>
      </w:r>
      <w:r w:rsidRPr="00DF1525">
        <w:t>and therefore should reconcile to the GPFS.</w:t>
      </w:r>
    </w:p>
    <w:p w14:paraId="6C781C36" w14:textId="554C6722"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l</w:t>
      </w:r>
      <w:r w:rsidRPr="00341487">
        <w:rPr>
          <w:rFonts w:ascii="Arial" w:hAnsi="Arial" w:cs="Arial"/>
          <w:color w:val="002060"/>
          <w:sz w:val="24"/>
          <w:szCs w:val="24"/>
        </w:rPr>
        <w:t xml:space="preserve">oans </w:t>
      </w:r>
      <w:r w:rsidR="009B233E" w:rsidRPr="00341487">
        <w:rPr>
          <w:rFonts w:ascii="Arial" w:hAnsi="Arial" w:cs="Arial"/>
          <w:color w:val="002060"/>
          <w:sz w:val="24"/>
          <w:szCs w:val="24"/>
        </w:rPr>
        <w:t>r</w:t>
      </w:r>
      <w:r w:rsidRPr="00341487">
        <w:rPr>
          <w:rFonts w:ascii="Arial" w:hAnsi="Arial" w:cs="Arial"/>
          <w:color w:val="002060"/>
          <w:sz w:val="24"/>
          <w:szCs w:val="24"/>
        </w:rPr>
        <w:t>eceivable</w:t>
      </w:r>
    </w:p>
    <w:p w14:paraId="56DF30C9" w14:textId="77777777" w:rsidR="00D3425E" w:rsidRPr="00DF1525" w:rsidRDefault="00D3425E" w:rsidP="008E4263">
      <w:pPr>
        <w:pStyle w:val="ListBullet"/>
        <w:spacing w:before="120" w:after="120"/>
        <w:ind w:left="357" w:hanging="357"/>
      </w:pPr>
      <w:r w:rsidRPr="00DF1525">
        <w:t>Loans receivable do not include related party loans or refundable loans receivable (these are to be separately included in the relevant schedules).</w:t>
      </w:r>
    </w:p>
    <w:p w14:paraId="4B5F81E2" w14:textId="77777777" w:rsidR="00D3425E" w:rsidRPr="00DF1525" w:rsidRDefault="00D3425E" w:rsidP="008E4263">
      <w:pPr>
        <w:pStyle w:val="ListBullet"/>
        <w:spacing w:before="120" w:after="120"/>
        <w:ind w:left="357" w:hanging="357"/>
      </w:pPr>
      <w:r w:rsidRPr="00DF1525">
        <w:t>Details of security held (if applicable) for loans receivable must be included.</w:t>
      </w:r>
    </w:p>
    <w:p w14:paraId="2A06A667" w14:textId="606EACD3" w:rsidR="00D3425E" w:rsidRPr="00DF1525" w:rsidRDefault="00D3425E" w:rsidP="008E4263">
      <w:pPr>
        <w:pStyle w:val="ListBullet"/>
        <w:spacing w:before="120" w:after="120"/>
        <w:ind w:left="357" w:hanging="357"/>
      </w:pPr>
      <w:r w:rsidRPr="00DF1525">
        <w:t xml:space="preserve">The </w:t>
      </w:r>
      <w:r w:rsidR="009B233E">
        <w:t>d</w:t>
      </w:r>
      <w:r w:rsidRPr="00DF1525">
        <w:t xml:space="preserve">ata should be sourced from </w:t>
      </w:r>
      <w:r w:rsidR="006B3170">
        <w:t>an</w:t>
      </w:r>
      <w:r w:rsidRPr="00DF1525">
        <w:t xml:space="preserve"> organisation’s</w:t>
      </w:r>
      <w:r w:rsidR="009B233E">
        <w:t xml:space="preserve"> GPFS</w:t>
      </w:r>
      <w:r w:rsidRPr="00DF1525" w:rsidDel="009B233E">
        <w:t xml:space="preserve"> </w:t>
      </w:r>
      <w:r w:rsidRPr="00DF1525">
        <w:t>and therefore should reconcile to the GPFS.</w:t>
      </w:r>
    </w:p>
    <w:p w14:paraId="5C2A7517" w14:textId="404BEAD1"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n</w:t>
      </w:r>
      <w:r w:rsidRPr="00341487">
        <w:rPr>
          <w:rFonts w:ascii="Arial" w:hAnsi="Arial" w:cs="Arial"/>
          <w:color w:val="002060"/>
          <w:sz w:val="24"/>
          <w:szCs w:val="24"/>
        </w:rPr>
        <w:t>on-</w:t>
      </w:r>
      <w:r w:rsidR="009B233E" w:rsidRPr="00341487">
        <w:rPr>
          <w:rFonts w:ascii="Arial" w:hAnsi="Arial" w:cs="Arial"/>
          <w:color w:val="002060"/>
          <w:sz w:val="24"/>
          <w:szCs w:val="24"/>
        </w:rPr>
        <w:t>c</w:t>
      </w:r>
      <w:r w:rsidRPr="00341487">
        <w:rPr>
          <w:rFonts w:ascii="Arial" w:hAnsi="Arial" w:cs="Arial"/>
          <w:color w:val="002060"/>
          <w:sz w:val="24"/>
          <w:szCs w:val="24"/>
        </w:rPr>
        <w:t xml:space="preserve">urrent </w:t>
      </w:r>
      <w:r w:rsidR="009B233E" w:rsidRPr="00341487">
        <w:rPr>
          <w:rFonts w:ascii="Arial" w:hAnsi="Arial" w:cs="Arial"/>
          <w:color w:val="002060"/>
          <w:sz w:val="24"/>
          <w:szCs w:val="24"/>
        </w:rPr>
        <w:t>a</w:t>
      </w:r>
      <w:r w:rsidRPr="00341487">
        <w:rPr>
          <w:rFonts w:ascii="Arial" w:hAnsi="Arial" w:cs="Arial"/>
          <w:color w:val="002060"/>
          <w:sz w:val="24"/>
          <w:szCs w:val="24"/>
        </w:rPr>
        <w:t>ssets</w:t>
      </w:r>
    </w:p>
    <w:p w14:paraId="63DACB9E" w14:textId="26730430" w:rsidR="00D3425E" w:rsidRPr="00DF1525" w:rsidRDefault="00D3425E" w:rsidP="008E4263">
      <w:pPr>
        <w:pStyle w:val="ListBullet"/>
        <w:spacing w:before="120" w:after="120"/>
        <w:ind w:left="357" w:hanging="357"/>
      </w:pPr>
      <w:r w:rsidRPr="00DF1525">
        <w:t xml:space="preserve">All non-current assets need to be allocated to either </w:t>
      </w:r>
      <w:r w:rsidR="004940D4">
        <w:t>r</w:t>
      </w:r>
      <w:r w:rsidRPr="00DF1525">
        <w:t xml:space="preserve">esidential care segment or </w:t>
      </w:r>
      <w:r w:rsidR="009B233E">
        <w:t>o</w:t>
      </w:r>
      <w:r w:rsidRPr="00DF1525">
        <w:t>ther segment.</w:t>
      </w:r>
    </w:p>
    <w:p w14:paraId="5BC26B8D" w14:textId="77777777" w:rsidR="00D3425E" w:rsidRPr="00DF1525" w:rsidRDefault="00D3425E" w:rsidP="008E4263">
      <w:pPr>
        <w:pStyle w:val="ListBullet"/>
        <w:spacing w:before="120" w:after="120"/>
        <w:ind w:left="357" w:hanging="357"/>
      </w:pPr>
      <w:r w:rsidRPr="00DF1525">
        <w:t>Where assets have both residential and non-residential use, an assessment of the portion applicable to residential aged care needs to be made based on area, usage or similar measure.</w:t>
      </w:r>
    </w:p>
    <w:p w14:paraId="4CA4E36D" w14:textId="46B67D4B" w:rsidR="00D3425E" w:rsidRPr="00DF1525" w:rsidRDefault="00D3425E" w:rsidP="008E4263">
      <w:pPr>
        <w:pStyle w:val="ListBullet"/>
        <w:spacing w:before="120" w:after="120"/>
        <w:ind w:left="357" w:hanging="357"/>
      </w:pPr>
      <w:r w:rsidRPr="00DF1525">
        <w:t xml:space="preserve">Where an </w:t>
      </w:r>
      <w:r w:rsidR="009B233E">
        <w:t>i</w:t>
      </w:r>
      <w:r w:rsidRPr="00DF1525">
        <w:t xml:space="preserve">nvestment </w:t>
      </w:r>
      <w:r w:rsidR="009B233E">
        <w:t>p</w:t>
      </w:r>
      <w:r w:rsidRPr="00DF1525">
        <w:t>roperty is disclosed as being residential aged care</w:t>
      </w:r>
      <w:r w:rsidR="009B233E">
        <w:t xml:space="preserve">, </w:t>
      </w:r>
      <w:r w:rsidRPr="00DF1525">
        <w:t xml:space="preserve">please include further details in </w:t>
      </w:r>
      <w:r w:rsidR="00DE0A02">
        <w:t>n</w:t>
      </w:r>
      <w:r w:rsidRPr="00DF1525">
        <w:t>ote 1.</w:t>
      </w:r>
    </w:p>
    <w:p w14:paraId="6CB5B951" w14:textId="77777777" w:rsidR="00D3425E" w:rsidRPr="00DF1525" w:rsidRDefault="00D3425E" w:rsidP="008E4263">
      <w:pPr>
        <w:pStyle w:val="ListBullet"/>
        <w:spacing w:before="120" w:after="120"/>
        <w:ind w:left="357" w:hanging="357"/>
      </w:pPr>
      <w:r w:rsidRPr="00DF1525">
        <w:t>The upper and lower depreciation/amortisation rate for each class of asset needs to be included.</w:t>
      </w:r>
    </w:p>
    <w:p w14:paraId="129347C6" w14:textId="10E90DF8" w:rsidR="00D3425E" w:rsidRPr="00DF1525" w:rsidRDefault="00D3425E" w:rsidP="008E4263">
      <w:pPr>
        <w:pStyle w:val="ListBullet"/>
        <w:spacing w:before="120" w:after="120"/>
        <w:ind w:left="357" w:hanging="357"/>
      </w:pPr>
      <w:r w:rsidRPr="00DF1525">
        <w:t xml:space="preserve">The </w:t>
      </w:r>
      <w:r w:rsidR="009B233E">
        <w:t>d</w:t>
      </w:r>
      <w:r w:rsidRPr="00DF1525">
        <w:t xml:space="preserve">ata should be sourced from </w:t>
      </w:r>
      <w:r w:rsidR="006B3170">
        <w:t>an</w:t>
      </w:r>
      <w:r w:rsidRPr="00DF1525">
        <w:t xml:space="preserve"> organisation’s </w:t>
      </w:r>
      <w:r w:rsidR="009B233E">
        <w:t>GPFS</w:t>
      </w:r>
      <w:r w:rsidRPr="00DF1525">
        <w:t xml:space="preserve"> and therefore should reconcile to the GPFS.</w:t>
      </w:r>
    </w:p>
    <w:p w14:paraId="37352769" w14:textId="1EA5AFC8"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r</w:t>
      </w:r>
      <w:r w:rsidRPr="00341487">
        <w:rPr>
          <w:rFonts w:ascii="Arial" w:hAnsi="Arial" w:cs="Arial"/>
          <w:color w:val="002060"/>
          <w:sz w:val="24"/>
          <w:szCs w:val="24"/>
        </w:rPr>
        <w:t xml:space="preserve">efundable </w:t>
      </w:r>
      <w:r w:rsidR="009B233E" w:rsidRPr="00341487">
        <w:rPr>
          <w:rFonts w:ascii="Arial" w:hAnsi="Arial" w:cs="Arial"/>
          <w:color w:val="002060"/>
          <w:sz w:val="24"/>
          <w:szCs w:val="24"/>
        </w:rPr>
        <w:t>l</w:t>
      </w:r>
      <w:r w:rsidRPr="00341487">
        <w:rPr>
          <w:rFonts w:ascii="Arial" w:hAnsi="Arial" w:cs="Arial"/>
          <w:color w:val="002060"/>
          <w:sz w:val="24"/>
          <w:szCs w:val="24"/>
        </w:rPr>
        <w:t>oans</w:t>
      </w:r>
    </w:p>
    <w:p w14:paraId="0D35AEA1" w14:textId="5555407B" w:rsidR="00D3425E" w:rsidRPr="00DF1525" w:rsidRDefault="00D3425E" w:rsidP="008E4263">
      <w:pPr>
        <w:pStyle w:val="ListBullet"/>
        <w:spacing w:before="120" w:after="120"/>
        <w:ind w:left="357" w:hanging="357"/>
      </w:pPr>
      <w:r w:rsidRPr="00DF1525">
        <w:t>Refundable accommodation deposits (RADs) schedule also include</w:t>
      </w:r>
      <w:r w:rsidR="004940D4">
        <w:t>s</w:t>
      </w:r>
      <w:r w:rsidRPr="00DF1525">
        <w:t xml:space="preserve"> (former) accommodation bonds and entry contributions for permanent residential aged care residents.</w:t>
      </w:r>
    </w:p>
    <w:p w14:paraId="5F7914E7" w14:textId="77777777" w:rsidR="00D3425E" w:rsidRPr="00DF1525" w:rsidRDefault="00D3425E" w:rsidP="008E4263">
      <w:pPr>
        <w:pStyle w:val="ListBullet"/>
        <w:spacing w:before="120" w:after="120"/>
        <w:ind w:left="357" w:hanging="357"/>
      </w:pPr>
      <w:r w:rsidRPr="00DF1525">
        <w:t>Refundable entry contributions schedule is in relation to retirement living residents.</w:t>
      </w:r>
    </w:p>
    <w:p w14:paraId="4323C785" w14:textId="77777777" w:rsidR="00D3425E" w:rsidRPr="00DF1525" w:rsidRDefault="00D3425E" w:rsidP="008E4263">
      <w:pPr>
        <w:pStyle w:val="ListBullet"/>
        <w:spacing w:before="120" w:after="120"/>
        <w:ind w:left="357" w:hanging="357"/>
      </w:pPr>
      <w:r w:rsidRPr="00DF1525">
        <w:t>Transfers to RADs must equal transfers from refundable entry contributions.</w:t>
      </w:r>
    </w:p>
    <w:p w14:paraId="4EAA1ED8" w14:textId="5F2D2664" w:rsidR="00D3425E" w:rsidRPr="00DF1525" w:rsidRDefault="00D3425E" w:rsidP="008E4263">
      <w:pPr>
        <w:pStyle w:val="ListBullet"/>
        <w:spacing w:before="120" w:after="120"/>
        <w:ind w:left="357" w:hanging="357"/>
      </w:pPr>
      <w:bookmarkStart w:id="11" w:name="_Hlk81484411"/>
      <w:r w:rsidRPr="00DF1525">
        <w:t xml:space="preserve">The </w:t>
      </w:r>
      <w:r w:rsidR="009B233E">
        <w:t>d</w:t>
      </w:r>
      <w:r w:rsidRPr="00DF1525">
        <w:t xml:space="preserve">ata should be sourced from </w:t>
      </w:r>
      <w:r w:rsidR="006B3170">
        <w:t>an</w:t>
      </w:r>
      <w:r w:rsidRPr="00DF1525">
        <w:t xml:space="preserve"> organisation’s </w:t>
      </w:r>
      <w:r w:rsidR="009B233E">
        <w:t xml:space="preserve">GPFS </w:t>
      </w:r>
      <w:r w:rsidRPr="00DF1525">
        <w:t>and therefore should reconcile to the GPFS.</w:t>
      </w:r>
    </w:p>
    <w:bookmarkEnd w:id="11"/>
    <w:p w14:paraId="6F6E2307" w14:textId="2A607D42"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b</w:t>
      </w:r>
      <w:r w:rsidRPr="00341487">
        <w:rPr>
          <w:rFonts w:ascii="Arial" w:hAnsi="Arial" w:cs="Arial"/>
          <w:color w:val="002060"/>
          <w:sz w:val="24"/>
          <w:szCs w:val="24"/>
        </w:rPr>
        <w:t>orrowings</w:t>
      </w:r>
    </w:p>
    <w:p w14:paraId="6F42A639" w14:textId="77777777" w:rsidR="00D3425E" w:rsidRPr="00DF1525" w:rsidRDefault="00D3425E" w:rsidP="008E4263">
      <w:pPr>
        <w:pStyle w:val="ListBullet"/>
        <w:spacing w:before="120" w:after="120"/>
        <w:ind w:left="357" w:hanging="357"/>
      </w:pPr>
      <w:r w:rsidRPr="00DF1525">
        <w:t>Related party borrowings are not to be included in this section. Borrowings relate solely to external, non-arms-length borrowings.</w:t>
      </w:r>
    </w:p>
    <w:p w14:paraId="6AEFBB16" w14:textId="77777777" w:rsidR="00D3425E" w:rsidRPr="00DF1525" w:rsidRDefault="00D3425E" w:rsidP="008E4263">
      <w:pPr>
        <w:pStyle w:val="ListBullet"/>
        <w:spacing w:before="120" w:after="120"/>
        <w:ind w:left="357" w:hanging="357"/>
      </w:pPr>
      <w:r w:rsidRPr="00DF1525">
        <w:lastRenderedPageBreak/>
        <w:t>Interest paid refers to where the interest has been credited to the account and not paid through the bank or financial assets account (i.e. a non-cash transaction).</w:t>
      </w:r>
    </w:p>
    <w:p w14:paraId="09E927DE" w14:textId="25BD8B92" w:rsidR="00D3425E" w:rsidRPr="00DF1525" w:rsidRDefault="00D3425E" w:rsidP="008E4263">
      <w:pPr>
        <w:pStyle w:val="ListBullet"/>
        <w:spacing w:before="120" w:after="120"/>
        <w:ind w:left="357" w:hanging="357"/>
      </w:pPr>
      <w:r w:rsidRPr="00DF1525">
        <w:t xml:space="preserve">The </w:t>
      </w:r>
      <w:r w:rsidR="009B233E">
        <w:t>d</w:t>
      </w:r>
      <w:r w:rsidRPr="00DF1525">
        <w:t xml:space="preserve">ata should be sourced from </w:t>
      </w:r>
      <w:r w:rsidR="006B3170">
        <w:t>an</w:t>
      </w:r>
      <w:r w:rsidRPr="00DF1525">
        <w:t xml:space="preserve"> organisation’s</w:t>
      </w:r>
      <w:r w:rsidRPr="00DF1525" w:rsidDel="009B233E">
        <w:t xml:space="preserve"> </w:t>
      </w:r>
      <w:r w:rsidR="009B233E">
        <w:t xml:space="preserve">GPFS </w:t>
      </w:r>
      <w:r w:rsidRPr="00DF1525">
        <w:t>and therefore should reconcile to the GPFS.</w:t>
      </w:r>
    </w:p>
    <w:p w14:paraId="50AB2047" w14:textId="617C879C" w:rsidR="00D3425E" w:rsidRPr="00341487" w:rsidRDefault="00D3425E" w:rsidP="00837915">
      <w:pPr>
        <w:pStyle w:val="TOCHeading"/>
        <w:spacing w:before="240"/>
        <w:rPr>
          <w:rFonts w:ascii="Arial" w:hAnsi="Arial" w:cs="Arial"/>
          <w:color w:val="002060"/>
          <w:sz w:val="24"/>
          <w:szCs w:val="24"/>
        </w:rPr>
      </w:pPr>
      <w:r w:rsidRPr="00341487">
        <w:rPr>
          <w:rFonts w:ascii="Arial" w:hAnsi="Arial" w:cs="Arial"/>
          <w:color w:val="002060"/>
          <w:sz w:val="24"/>
          <w:szCs w:val="24"/>
        </w:rPr>
        <w:t xml:space="preserve">Approved </w:t>
      </w:r>
      <w:r w:rsidR="009B233E" w:rsidRPr="00341487">
        <w:rPr>
          <w:rFonts w:ascii="Arial" w:hAnsi="Arial" w:cs="Arial"/>
          <w:color w:val="002060"/>
          <w:sz w:val="24"/>
          <w:szCs w:val="24"/>
        </w:rPr>
        <w:t>p</w:t>
      </w:r>
      <w:r w:rsidRPr="00341487">
        <w:rPr>
          <w:rFonts w:ascii="Arial" w:hAnsi="Arial" w:cs="Arial"/>
          <w:color w:val="002060"/>
          <w:sz w:val="24"/>
          <w:szCs w:val="24"/>
        </w:rPr>
        <w:t xml:space="preserve">rovider </w:t>
      </w:r>
      <w:r w:rsidR="009B233E" w:rsidRPr="00341487">
        <w:rPr>
          <w:rFonts w:ascii="Arial" w:hAnsi="Arial" w:cs="Arial"/>
          <w:color w:val="002060"/>
          <w:sz w:val="24"/>
          <w:szCs w:val="24"/>
        </w:rPr>
        <w:t>r</w:t>
      </w:r>
      <w:r w:rsidRPr="00341487">
        <w:rPr>
          <w:rFonts w:ascii="Arial" w:hAnsi="Arial" w:cs="Arial"/>
          <w:color w:val="002060"/>
          <w:sz w:val="24"/>
          <w:szCs w:val="24"/>
        </w:rPr>
        <w:t xml:space="preserve">elated </w:t>
      </w:r>
      <w:r w:rsidR="009B233E" w:rsidRPr="00341487">
        <w:rPr>
          <w:rFonts w:ascii="Arial" w:hAnsi="Arial" w:cs="Arial"/>
          <w:color w:val="002060"/>
          <w:sz w:val="24"/>
          <w:szCs w:val="24"/>
        </w:rPr>
        <w:t>p</w:t>
      </w:r>
      <w:r w:rsidRPr="00341487">
        <w:rPr>
          <w:rFonts w:ascii="Arial" w:hAnsi="Arial" w:cs="Arial"/>
          <w:color w:val="002060"/>
          <w:sz w:val="24"/>
          <w:szCs w:val="24"/>
        </w:rPr>
        <w:t xml:space="preserve">arty </w:t>
      </w:r>
      <w:r w:rsidR="009B233E" w:rsidRPr="00341487">
        <w:rPr>
          <w:rFonts w:ascii="Arial" w:hAnsi="Arial" w:cs="Arial"/>
          <w:color w:val="002060"/>
          <w:sz w:val="24"/>
          <w:szCs w:val="24"/>
        </w:rPr>
        <w:t>l</w:t>
      </w:r>
      <w:r w:rsidRPr="00341487">
        <w:rPr>
          <w:rFonts w:ascii="Arial" w:hAnsi="Arial" w:cs="Arial"/>
          <w:color w:val="002060"/>
          <w:sz w:val="24"/>
          <w:szCs w:val="24"/>
        </w:rPr>
        <w:t xml:space="preserve">oans </w:t>
      </w:r>
    </w:p>
    <w:p w14:paraId="50021936" w14:textId="77777777" w:rsidR="00D3425E" w:rsidRPr="00DF1525" w:rsidRDefault="00D3425E" w:rsidP="008E4263">
      <w:pPr>
        <w:pStyle w:val="ListBullet"/>
        <w:spacing w:before="120" w:after="120"/>
        <w:ind w:left="357" w:hanging="357"/>
      </w:pPr>
      <w:r w:rsidRPr="00DF1525">
        <w:t>Related party loans receivable should not be disclosed as a financial asset.</w:t>
      </w:r>
    </w:p>
    <w:p w14:paraId="7B8E0926" w14:textId="77777777" w:rsidR="00D3425E" w:rsidRPr="00DF1525" w:rsidRDefault="00D3425E" w:rsidP="008E4263">
      <w:pPr>
        <w:pStyle w:val="ListBullet"/>
        <w:spacing w:before="120" w:after="120"/>
        <w:ind w:left="357" w:hanging="357"/>
      </w:pPr>
      <w:r w:rsidRPr="00DF1525">
        <w:t>Related party loans payable should not be disclosed as borrowings.</w:t>
      </w:r>
    </w:p>
    <w:p w14:paraId="13020386" w14:textId="77777777" w:rsidR="00D3425E" w:rsidRPr="00DF1525" w:rsidRDefault="00D3425E" w:rsidP="008E4263">
      <w:pPr>
        <w:pStyle w:val="ListBullet"/>
        <w:spacing w:before="120" w:after="120"/>
        <w:ind w:left="357" w:hanging="357"/>
      </w:pPr>
      <w:r w:rsidRPr="00DF1525">
        <w:t>Interest received or interest paid refers to where the interest has been included in the loan account (i.e. non-cash transactions).</w:t>
      </w:r>
    </w:p>
    <w:p w14:paraId="4F4DE3F3" w14:textId="77777777" w:rsidR="00D3425E" w:rsidRPr="00DF1525" w:rsidRDefault="00D3425E" w:rsidP="008E4263">
      <w:pPr>
        <w:pStyle w:val="ListBullet"/>
        <w:spacing w:before="120" w:after="120"/>
        <w:ind w:left="357" w:hanging="357"/>
      </w:pPr>
      <w:r w:rsidRPr="00DF1525">
        <w:t>Details of security needs to include confirmation of an enforceable loan agreement signed by the respective Directors (or equivalent), effective interest rate, term of loan(s) and security provided for the loan(s).</w:t>
      </w:r>
    </w:p>
    <w:p w14:paraId="7A2ECAEC" w14:textId="6226A211" w:rsidR="00D3425E" w:rsidRDefault="00D3425E" w:rsidP="008E4263">
      <w:pPr>
        <w:pStyle w:val="ListBullet"/>
        <w:spacing w:before="120" w:after="120"/>
        <w:ind w:left="357" w:hanging="357"/>
      </w:pPr>
      <w:r w:rsidRPr="00DF1525">
        <w:t xml:space="preserve">The </w:t>
      </w:r>
      <w:r w:rsidR="009B233E">
        <w:t>d</w:t>
      </w:r>
      <w:r w:rsidRPr="00DF1525">
        <w:t xml:space="preserve">ata should be sourced from </w:t>
      </w:r>
      <w:r w:rsidR="00C3638A">
        <w:t>an</w:t>
      </w:r>
      <w:r w:rsidRPr="00DF1525">
        <w:t xml:space="preserve"> organisation’s </w:t>
      </w:r>
      <w:r w:rsidR="009B233E">
        <w:t xml:space="preserve">GPFS </w:t>
      </w:r>
      <w:r w:rsidRPr="00DF1525">
        <w:t>and therefore should reconcile to the GPFS.</w:t>
      </w:r>
    </w:p>
    <w:p w14:paraId="25ABAA94" w14:textId="77777777" w:rsidR="003A01B6" w:rsidRDefault="003A01B6" w:rsidP="003A01B6">
      <w:pPr>
        <w:pStyle w:val="ListBullet"/>
        <w:numPr>
          <w:ilvl w:val="0"/>
          <w:numId w:val="0"/>
        </w:numPr>
        <w:ind w:left="340" w:hanging="340"/>
      </w:pPr>
    </w:p>
    <w:p w14:paraId="314B74C4" w14:textId="77777777" w:rsidR="003A01B6" w:rsidRDefault="003A01B6" w:rsidP="003A01B6">
      <w:pPr>
        <w:pStyle w:val="ListBullet"/>
        <w:numPr>
          <w:ilvl w:val="0"/>
          <w:numId w:val="0"/>
        </w:numPr>
        <w:ind w:left="340" w:hanging="340"/>
      </w:pPr>
    </w:p>
    <w:p w14:paraId="694A9CDB" w14:textId="77777777" w:rsidR="003A01B6" w:rsidRDefault="003A01B6" w:rsidP="003A01B6">
      <w:pPr>
        <w:pStyle w:val="ListBullet"/>
        <w:numPr>
          <w:ilvl w:val="0"/>
          <w:numId w:val="0"/>
        </w:numPr>
        <w:ind w:left="340" w:hanging="340"/>
      </w:pPr>
    </w:p>
    <w:p w14:paraId="0E524D85" w14:textId="77777777" w:rsidR="003A01B6" w:rsidRDefault="003A01B6" w:rsidP="003A01B6">
      <w:pPr>
        <w:pStyle w:val="ListBullet"/>
        <w:numPr>
          <w:ilvl w:val="0"/>
          <w:numId w:val="0"/>
        </w:numPr>
        <w:ind w:left="340" w:hanging="340"/>
      </w:pPr>
    </w:p>
    <w:p w14:paraId="491605FD" w14:textId="77777777" w:rsidR="003A01B6" w:rsidRDefault="003A01B6" w:rsidP="003A01B6">
      <w:pPr>
        <w:pStyle w:val="ListBullet"/>
        <w:numPr>
          <w:ilvl w:val="0"/>
          <w:numId w:val="0"/>
        </w:numPr>
        <w:ind w:left="340" w:hanging="340"/>
      </w:pPr>
    </w:p>
    <w:p w14:paraId="5DEA7E39" w14:textId="77777777" w:rsidR="003A01B6" w:rsidRDefault="003A01B6" w:rsidP="003A01B6">
      <w:pPr>
        <w:pStyle w:val="ListBullet"/>
        <w:numPr>
          <w:ilvl w:val="0"/>
          <w:numId w:val="0"/>
        </w:numPr>
        <w:ind w:left="340" w:hanging="340"/>
      </w:pPr>
    </w:p>
    <w:p w14:paraId="184D6ECB" w14:textId="77777777" w:rsidR="003A01B6" w:rsidRDefault="003A01B6" w:rsidP="003A01B6">
      <w:pPr>
        <w:pStyle w:val="ListBullet"/>
        <w:numPr>
          <w:ilvl w:val="0"/>
          <w:numId w:val="0"/>
        </w:numPr>
        <w:ind w:left="340" w:hanging="340"/>
      </w:pPr>
    </w:p>
    <w:p w14:paraId="6E842081" w14:textId="77777777" w:rsidR="003A01B6" w:rsidRDefault="003A01B6" w:rsidP="003A01B6">
      <w:pPr>
        <w:pStyle w:val="ListBullet"/>
        <w:numPr>
          <w:ilvl w:val="0"/>
          <w:numId w:val="0"/>
        </w:numPr>
        <w:ind w:left="340" w:hanging="340"/>
      </w:pPr>
    </w:p>
    <w:p w14:paraId="50958C6E" w14:textId="77777777" w:rsidR="003A01B6" w:rsidRDefault="003A01B6" w:rsidP="003A01B6">
      <w:pPr>
        <w:pStyle w:val="ListBullet"/>
        <w:numPr>
          <w:ilvl w:val="0"/>
          <w:numId w:val="0"/>
        </w:numPr>
        <w:ind w:left="340" w:hanging="340"/>
      </w:pPr>
    </w:p>
    <w:p w14:paraId="08F05169" w14:textId="77777777" w:rsidR="003A01B6" w:rsidRDefault="003A01B6" w:rsidP="003A01B6">
      <w:pPr>
        <w:pStyle w:val="ListBullet"/>
        <w:numPr>
          <w:ilvl w:val="0"/>
          <w:numId w:val="0"/>
        </w:numPr>
        <w:ind w:left="340" w:hanging="340"/>
      </w:pPr>
    </w:p>
    <w:p w14:paraId="29B45EC0" w14:textId="77777777" w:rsidR="003A01B6" w:rsidRDefault="003A01B6" w:rsidP="003A01B6">
      <w:pPr>
        <w:pStyle w:val="ListBullet"/>
        <w:numPr>
          <w:ilvl w:val="0"/>
          <w:numId w:val="0"/>
        </w:numPr>
        <w:ind w:left="340" w:hanging="340"/>
      </w:pPr>
    </w:p>
    <w:p w14:paraId="6B73A788" w14:textId="77777777" w:rsidR="003A01B6" w:rsidRDefault="003A01B6" w:rsidP="003A01B6">
      <w:pPr>
        <w:pStyle w:val="ListBullet"/>
        <w:numPr>
          <w:ilvl w:val="0"/>
          <w:numId w:val="0"/>
        </w:numPr>
        <w:ind w:left="340" w:hanging="340"/>
      </w:pPr>
    </w:p>
    <w:p w14:paraId="7E0E8252" w14:textId="77777777" w:rsidR="003A01B6" w:rsidRDefault="003A01B6" w:rsidP="003A01B6">
      <w:pPr>
        <w:pStyle w:val="ListBullet"/>
        <w:numPr>
          <w:ilvl w:val="0"/>
          <w:numId w:val="0"/>
        </w:numPr>
        <w:ind w:left="340" w:hanging="340"/>
      </w:pPr>
    </w:p>
    <w:p w14:paraId="320256B1" w14:textId="77777777" w:rsidR="003A01B6" w:rsidRDefault="003A01B6" w:rsidP="003A01B6">
      <w:pPr>
        <w:pStyle w:val="ListBullet"/>
        <w:numPr>
          <w:ilvl w:val="0"/>
          <w:numId w:val="0"/>
        </w:numPr>
        <w:ind w:left="340" w:hanging="340"/>
      </w:pPr>
    </w:p>
    <w:p w14:paraId="08F07C2B" w14:textId="77777777" w:rsidR="003A01B6" w:rsidRDefault="003A01B6" w:rsidP="003A01B6">
      <w:pPr>
        <w:pStyle w:val="ListBullet"/>
        <w:numPr>
          <w:ilvl w:val="0"/>
          <w:numId w:val="0"/>
        </w:numPr>
        <w:ind w:left="340" w:hanging="340"/>
      </w:pPr>
    </w:p>
    <w:p w14:paraId="0622E10A" w14:textId="77777777" w:rsidR="003A01B6" w:rsidRDefault="003A01B6" w:rsidP="003A01B6">
      <w:pPr>
        <w:pStyle w:val="ListBullet"/>
        <w:numPr>
          <w:ilvl w:val="0"/>
          <w:numId w:val="0"/>
        </w:numPr>
        <w:ind w:left="340" w:hanging="340"/>
      </w:pPr>
    </w:p>
    <w:p w14:paraId="5C38D216" w14:textId="77777777" w:rsidR="003A01B6" w:rsidRDefault="003A01B6" w:rsidP="003A01B6">
      <w:pPr>
        <w:pStyle w:val="ListBullet"/>
        <w:numPr>
          <w:ilvl w:val="0"/>
          <w:numId w:val="0"/>
        </w:numPr>
        <w:ind w:left="340" w:hanging="340"/>
      </w:pPr>
    </w:p>
    <w:p w14:paraId="794C580C" w14:textId="77777777" w:rsidR="003A01B6" w:rsidRDefault="003A01B6" w:rsidP="003A01B6">
      <w:pPr>
        <w:pStyle w:val="ListBullet"/>
        <w:numPr>
          <w:ilvl w:val="0"/>
          <w:numId w:val="0"/>
        </w:numPr>
        <w:ind w:left="340" w:hanging="340"/>
      </w:pPr>
    </w:p>
    <w:p w14:paraId="2E060E23" w14:textId="77777777" w:rsidR="003A01B6" w:rsidRDefault="003A01B6" w:rsidP="003A01B6">
      <w:pPr>
        <w:pStyle w:val="ListBullet"/>
        <w:numPr>
          <w:ilvl w:val="0"/>
          <w:numId w:val="0"/>
        </w:numPr>
        <w:ind w:left="340" w:hanging="340"/>
      </w:pPr>
    </w:p>
    <w:p w14:paraId="61D5D730" w14:textId="77777777" w:rsidR="003A01B6" w:rsidRDefault="003A01B6" w:rsidP="003A01B6">
      <w:pPr>
        <w:pStyle w:val="ListBullet"/>
        <w:numPr>
          <w:ilvl w:val="0"/>
          <w:numId w:val="0"/>
        </w:numPr>
        <w:ind w:left="340" w:hanging="340"/>
      </w:pPr>
    </w:p>
    <w:p w14:paraId="28435C3F" w14:textId="77777777" w:rsidR="003A01B6" w:rsidRDefault="003A01B6" w:rsidP="003A01B6">
      <w:pPr>
        <w:pStyle w:val="ListBullet"/>
        <w:numPr>
          <w:ilvl w:val="0"/>
          <w:numId w:val="0"/>
        </w:numPr>
        <w:ind w:left="340" w:hanging="340"/>
      </w:pPr>
    </w:p>
    <w:p w14:paraId="319D0AC8" w14:textId="77777777" w:rsidR="003A01B6" w:rsidRDefault="003A01B6" w:rsidP="003A01B6">
      <w:pPr>
        <w:pStyle w:val="ListBullet"/>
        <w:numPr>
          <w:ilvl w:val="0"/>
          <w:numId w:val="0"/>
        </w:numPr>
        <w:ind w:left="340" w:hanging="340"/>
      </w:pPr>
    </w:p>
    <w:p w14:paraId="50F91CBD" w14:textId="77777777" w:rsidR="003A01B6" w:rsidRDefault="003A01B6" w:rsidP="003A01B6">
      <w:pPr>
        <w:pStyle w:val="ListBullet"/>
        <w:numPr>
          <w:ilvl w:val="0"/>
          <w:numId w:val="0"/>
        </w:numPr>
        <w:ind w:left="340" w:hanging="340"/>
      </w:pPr>
    </w:p>
    <w:p w14:paraId="380899B2" w14:textId="77777777" w:rsidR="002F60BE" w:rsidRDefault="002F60BE" w:rsidP="003A01B6">
      <w:pPr>
        <w:pStyle w:val="ListBullet"/>
        <w:numPr>
          <w:ilvl w:val="0"/>
          <w:numId w:val="0"/>
        </w:numPr>
        <w:ind w:left="340" w:hanging="340"/>
      </w:pPr>
    </w:p>
    <w:p w14:paraId="702BC448" w14:textId="4114DC6B" w:rsidR="00D3425E" w:rsidRPr="00CF7E18" w:rsidRDefault="003A01B6" w:rsidP="002F058F">
      <w:pPr>
        <w:pStyle w:val="Heading2"/>
      </w:pPr>
      <w:bookmarkStart w:id="12" w:name="_Toc488160249"/>
      <w:r w:rsidRPr="002F058F">
        <w:lastRenderedPageBreak/>
        <w:t xml:space="preserve">9.0 </w:t>
      </w:r>
      <w:r w:rsidR="00D3425E" w:rsidRPr="002F058F">
        <w:t xml:space="preserve">Annual </w:t>
      </w:r>
      <w:r w:rsidR="00D3425E" w:rsidRPr="00CF7E18">
        <w:t>Prudential Compliance Statement</w:t>
      </w:r>
      <w:bookmarkEnd w:id="12"/>
    </w:p>
    <w:p w14:paraId="3BFDD036" w14:textId="14EC72C8" w:rsidR="000B13B3" w:rsidRDefault="00D3425E" w:rsidP="008E4263">
      <w:pPr>
        <w:pStyle w:val="ListBullet"/>
        <w:numPr>
          <w:ilvl w:val="0"/>
          <w:numId w:val="13"/>
        </w:numPr>
        <w:spacing w:before="120" w:after="120"/>
        <w:ind w:left="357" w:hanging="357"/>
      </w:pPr>
      <w:r w:rsidRPr="00C556BF">
        <w:t xml:space="preserve">Providers of </w:t>
      </w:r>
      <w:r w:rsidR="009B233E" w:rsidRPr="00C556BF">
        <w:t>r</w:t>
      </w:r>
      <w:r w:rsidRPr="00C556BF">
        <w:t xml:space="preserve">esidential </w:t>
      </w:r>
      <w:r w:rsidR="009B233E" w:rsidRPr="00C556BF">
        <w:t>a</w:t>
      </w:r>
      <w:r w:rsidRPr="00C556BF">
        <w:t xml:space="preserve">ged </w:t>
      </w:r>
      <w:r w:rsidR="002A446C" w:rsidRPr="00C556BF">
        <w:t>c</w:t>
      </w:r>
      <w:r w:rsidRPr="00C556BF">
        <w:t xml:space="preserve">are and </w:t>
      </w:r>
      <w:r w:rsidR="009B233E" w:rsidRPr="00C556BF">
        <w:t>m</w:t>
      </w:r>
      <w:r w:rsidRPr="00C556BF">
        <w:t>ulti-</w:t>
      </w:r>
      <w:r w:rsidR="009B233E" w:rsidRPr="00C556BF">
        <w:t>p</w:t>
      </w:r>
      <w:r w:rsidRPr="00C556BF">
        <w:t xml:space="preserve">urpose </w:t>
      </w:r>
      <w:r w:rsidR="002A446C" w:rsidRPr="00C556BF">
        <w:t>services</w:t>
      </w:r>
      <w:r w:rsidRPr="00C556BF">
        <w:t xml:space="preserve"> are required to complete the A</w:t>
      </w:r>
      <w:r w:rsidR="008B7878">
        <w:t xml:space="preserve">pproved </w:t>
      </w:r>
      <w:r w:rsidRPr="00C556BF">
        <w:t>P</w:t>
      </w:r>
      <w:r w:rsidR="008B7878">
        <w:t xml:space="preserve">rudential </w:t>
      </w:r>
      <w:r w:rsidRPr="00C556BF">
        <w:t>C</w:t>
      </w:r>
      <w:r w:rsidR="008B7878">
        <w:t>ompliance Statement (APCS)</w:t>
      </w:r>
      <w:r w:rsidRPr="00C556BF">
        <w:t xml:space="preserve"> component of the ACFR (Compliance with Prudential Standards, Compliance with Refundable Accommodation Payment Responsibilities, Permitted Uses for Accommodation Payments and Accommodation Payment Balances).  All APCSs and accompanying audit reports must be uploaded through the ACFR portal via </w:t>
      </w:r>
      <w:hyperlink r:id="rId21" w:history="1">
        <w:r w:rsidR="005C6088" w:rsidRPr="005C6088">
          <w:rPr>
            <w:rStyle w:val="Hyperlink"/>
          </w:rPr>
          <w:t>Forms Admin</w:t>
        </w:r>
      </w:hyperlink>
      <w:r w:rsidR="005C6088">
        <w:t xml:space="preserve"> using</w:t>
      </w:r>
      <w:r w:rsidRPr="00C556BF">
        <w:t xml:space="preserve"> </w:t>
      </w:r>
      <w:r w:rsidR="00B34B1A" w:rsidRPr="00C556BF">
        <w:t>a</w:t>
      </w:r>
      <w:r w:rsidRPr="00C556BF">
        <w:t xml:space="preserve"> </w:t>
      </w:r>
      <w:proofErr w:type="spellStart"/>
      <w:r w:rsidRPr="00C556BF">
        <w:t>myID</w:t>
      </w:r>
      <w:proofErr w:type="spellEnd"/>
      <w:r w:rsidRPr="00C556BF">
        <w:t xml:space="preserve"> login. If </w:t>
      </w:r>
      <w:r w:rsidR="00D714D0" w:rsidRPr="00C556BF">
        <w:t>a provider</w:t>
      </w:r>
      <w:r w:rsidRPr="00C556BF">
        <w:t xml:space="preserve"> did not hold bonds at any time during the year </w:t>
      </w:r>
      <w:r w:rsidR="00D714D0" w:rsidRPr="00C556BF">
        <w:t>they</w:t>
      </w:r>
      <w:r w:rsidRPr="00C556BF">
        <w:t xml:space="preserve"> are still required to complete the APCS</w:t>
      </w:r>
    </w:p>
    <w:p w14:paraId="14E94DEB" w14:textId="05F2FA31" w:rsidR="00D3425E" w:rsidRPr="00C556BF" w:rsidRDefault="00D3425E" w:rsidP="008E4263">
      <w:pPr>
        <w:pStyle w:val="ListBullet"/>
        <w:numPr>
          <w:ilvl w:val="0"/>
          <w:numId w:val="13"/>
        </w:numPr>
        <w:spacing w:before="120" w:after="120"/>
        <w:ind w:left="357" w:hanging="357"/>
      </w:pPr>
      <w:r w:rsidRPr="00C556BF">
        <w:t xml:space="preserve">Significant legislative change occurred on 1 July 2014. As such, a reference to ‘the Act’ should be taken as a reference to the Aged Care Act 1997 in force from 1 July 2014. On 1 July 2014, the Disclosure Standard moved from the User Rights Principles 1997 (the User Rights Principles) to the Fees and Payments Principles 2014 (No.2) (the </w:t>
      </w:r>
      <w:proofErr w:type="gramStart"/>
      <w:r w:rsidRPr="00C556BF">
        <w:t>Principles</w:t>
      </w:r>
      <w:proofErr w:type="gramEnd"/>
      <w:r w:rsidRPr="00C556BF">
        <w:t xml:space="preserve">). </w:t>
      </w:r>
    </w:p>
    <w:p w14:paraId="555EF0CF" w14:textId="77777777" w:rsidR="00D3425E" w:rsidRPr="00341487" w:rsidRDefault="00D3425E" w:rsidP="00E4088C">
      <w:pPr>
        <w:spacing w:before="200" w:after="0"/>
        <w:rPr>
          <w:rFonts w:eastAsiaTheme="majorEastAsia" w:cs="Arial"/>
          <w:b/>
          <w:bCs/>
          <w:color w:val="002060"/>
          <w:sz w:val="24"/>
          <w:szCs w:val="28"/>
        </w:rPr>
      </w:pPr>
      <w:bookmarkStart w:id="13" w:name="_Toc488160250"/>
      <w:r w:rsidRPr="00341487">
        <w:rPr>
          <w:rFonts w:eastAsiaTheme="majorEastAsia" w:cs="Arial"/>
          <w:b/>
          <w:bCs/>
          <w:color w:val="002060"/>
          <w:sz w:val="24"/>
          <w:szCs w:val="28"/>
        </w:rPr>
        <w:t>Completing the APCS</w:t>
      </w:r>
      <w:bookmarkEnd w:id="13"/>
    </w:p>
    <w:p w14:paraId="6DDE7913" w14:textId="01EF42AE" w:rsidR="00C556BF" w:rsidRPr="00C556BF" w:rsidRDefault="00D3425E" w:rsidP="002F4270">
      <w:pPr>
        <w:pStyle w:val="BodyText"/>
        <w:numPr>
          <w:ilvl w:val="0"/>
          <w:numId w:val="11"/>
        </w:numPr>
        <w:spacing w:line="240" w:lineRule="auto"/>
        <w:ind w:left="357" w:hanging="357"/>
        <w:rPr>
          <w:rFonts w:cs="Arial"/>
          <w:b/>
          <w:szCs w:val="22"/>
          <w:lang w:val="en-US"/>
        </w:rPr>
      </w:pPr>
      <w:r w:rsidRPr="00DF1525">
        <w:rPr>
          <w:rFonts w:cs="Arial"/>
          <w:szCs w:val="22"/>
          <w:lang w:val="en-US"/>
        </w:rPr>
        <w:t xml:space="preserve">A detailed user-guide to help complete </w:t>
      </w:r>
      <w:r w:rsidR="00D714D0">
        <w:rPr>
          <w:rFonts w:cs="Arial"/>
          <w:szCs w:val="22"/>
          <w:lang w:val="en-US"/>
        </w:rPr>
        <w:t>the</w:t>
      </w:r>
      <w:r w:rsidRPr="00DF1525">
        <w:rPr>
          <w:rFonts w:cs="Arial"/>
          <w:szCs w:val="22"/>
          <w:lang w:val="en-US"/>
        </w:rPr>
        <w:t xml:space="preserve"> APCS is available at </w:t>
      </w:r>
      <w:r w:rsidR="003144BB">
        <w:rPr>
          <w:rFonts w:cs="Arial"/>
          <w:szCs w:val="22"/>
          <w:lang w:val="en-US"/>
        </w:rPr>
        <w:t xml:space="preserve">the </w:t>
      </w:r>
      <w:hyperlink r:id="rId22" w:history="1">
        <w:r w:rsidR="003144BB" w:rsidRPr="003144BB">
          <w:rPr>
            <w:rStyle w:val="Hyperlink"/>
            <w:rFonts w:cs="Arial"/>
            <w:szCs w:val="22"/>
            <w:lang w:val="en-US"/>
          </w:rPr>
          <w:t>Forms Admin</w:t>
        </w:r>
      </w:hyperlink>
      <w:r w:rsidR="003144BB">
        <w:rPr>
          <w:rFonts w:cs="Arial"/>
          <w:szCs w:val="22"/>
          <w:lang w:val="en-US"/>
        </w:rPr>
        <w:t xml:space="preserve"> website </w:t>
      </w:r>
      <w:r w:rsidRPr="00DF1525">
        <w:rPr>
          <w:rFonts w:cs="Arial"/>
          <w:szCs w:val="22"/>
          <w:lang w:val="en-US"/>
        </w:rPr>
        <w:t xml:space="preserve">and is intended to be a general guide only and does not constitute legal advice. In cases of discrepancy between the guide and the legislation, the Act and the Fees and Payments Principles are the source documents setting out provider responsibilities. </w:t>
      </w:r>
    </w:p>
    <w:p w14:paraId="3ACA2CB2" w14:textId="77777777" w:rsidR="00D3425E" w:rsidRPr="00C556BF" w:rsidRDefault="00D3425E" w:rsidP="002F4270">
      <w:pPr>
        <w:pStyle w:val="BodyText"/>
        <w:numPr>
          <w:ilvl w:val="0"/>
          <w:numId w:val="11"/>
        </w:numPr>
        <w:spacing w:line="240" w:lineRule="auto"/>
        <w:ind w:left="357" w:hanging="357"/>
        <w:rPr>
          <w:rFonts w:cs="Arial"/>
          <w:lang w:val="en-US"/>
        </w:rPr>
      </w:pPr>
      <w:r w:rsidRPr="00C556BF">
        <w:rPr>
          <w:rFonts w:cs="Arial"/>
          <w:lang w:val="en-US"/>
        </w:rPr>
        <w:t xml:space="preserve">A provider may be asked at any time to demonstrate its compliance as reported in the APCS. </w:t>
      </w:r>
    </w:p>
    <w:p w14:paraId="792177B6" w14:textId="0E7E5868" w:rsidR="00D3425E" w:rsidRPr="00341487" w:rsidRDefault="00D3425E" w:rsidP="00E4088C">
      <w:pPr>
        <w:spacing w:before="200" w:after="0"/>
        <w:rPr>
          <w:rFonts w:eastAsiaTheme="majorEastAsia" w:cs="Arial"/>
          <w:b/>
          <w:bCs/>
          <w:color w:val="002060"/>
          <w:sz w:val="24"/>
          <w:szCs w:val="28"/>
        </w:rPr>
      </w:pPr>
      <w:bookmarkStart w:id="14" w:name="_Toc488160251"/>
      <w:r w:rsidRPr="00341487">
        <w:rPr>
          <w:rFonts w:eastAsiaTheme="majorEastAsia" w:cs="Arial"/>
          <w:b/>
          <w:bCs/>
          <w:color w:val="002060"/>
          <w:sz w:val="24"/>
          <w:szCs w:val="28"/>
        </w:rPr>
        <w:t xml:space="preserve">Compliance </w:t>
      </w:r>
      <w:bookmarkEnd w:id="14"/>
      <w:r w:rsidR="004940D4" w:rsidRPr="00341487">
        <w:rPr>
          <w:rFonts w:eastAsiaTheme="majorEastAsia" w:cs="Arial"/>
          <w:b/>
          <w:bCs/>
          <w:color w:val="002060"/>
          <w:sz w:val="24"/>
          <w:szCs w:val="28"/>
        </w:rPr>
        <w:t>a</w:t>
      </w:r>
      <w:r w:rsidRPr="00341487">
        <w:rPr>
          <w:rFonts w:eastAsiaTheme="majorEastAsia" w:cs="Arial"/>
          <w:b/>
          <w:bCs/>
          <w:color w:val="002060"/>
          <w:sz w:val="24"/>
          <w:szCs w:val="28"/>
        </w:rPr>
        <w:t>udit</w:t>
      </w:r>
    </w:p>
    <w:p w14:paraId="4E736746" w14:textId="2414B876" w:rsidR="000B13B3" w:rsidRPr="000B13B3" w:rsidRDefault="00E414A5" w:rsidP="003144BB">
      <w:pPr>
        <w:pStyle w:val="ListParagraph"/>
        <w:numPr>
          <w:ilvl w:val="0"/>
          <w:numId w:val="12"/>
        </w:numPr>
        <w:autoSpaceDE w:val="0"/>
        <w:autoSpaceDN w:val="0"/>
        <w:adjustRightInd w:val="0"/>
        <w:ind w:left="357" w:hanging="357"/>
        <w:rPr>
          <w:rStyle w:val="Hyperlink"/>
          <w:rFonts w:cs="Arial"/>
          <w:color w:val="000000" w:themeColor="text1"/>
          <w:u w:val="none"/>
          <w:lang w:val="en-US"/>
        </w:rPr>
      </w:pPr>
      <w:r w:rsidRPr="00C556BF">
        <w:rPr>
          <w:rFonts w:cs="Arial"/>
          <w:lang w:val="en-US"/>
        </w:rPr>
        <w:t>Providers</w:t>
      </w:r>
      <w:r w:rsidR="00D3425E" w:rsidRPr="00C556BF">
        <w:rPr>
          <w:rFonts w:cs="Arial"/>
          <w:lang w:val="en-US"/>
        </w:rPr>
        <w:t xml:space="preserve"> must have </w:t>
      </w:r>
      <w:r w:rsidRPr="00C556BF">
        <w:rPr>
          <w:rFonts w:cs="Arial"/>
          <w:lang w:val="en-US"/>
        </w:rPr>
        <w:t>their</w:t>
      </w:r>
      <w:r w:rsidR="00D3425E" w:rsidRPr="00C556BF">
        <w:rPr>
          <w:rFonts w:cs="Arial"/>
          <w:lang w:val="en-US"/>
        </w:rPr>
        <w:t xml:space="preserve"> APCS audited and upload a Compliance Audit Certificate to the ACFR portal before </w:t>
      </w:r>
      <w:proofErr w:type="spellStart"/>
      <w:r w:rsidR="00D3425E" w:rsidRPr="00C556BF">
        <w:rPr>
          <w:rFonts w:cs="Arial"/>
          <w:lang w:val="en-US"/>
        </w:rPr>
        <w:t>finalising</w:t>
      </w:r>
      <w:proofErr w:type="spellEnd"/>
      <w:r w:rsidR="00D3425E" w:rsidRPr="00C556BF">
        <w:rPr>
          <w:rFonts w:cs="Arial"/>
          <w:lang w:val="en-US"/>
        </w:rPr>
        <w:t xml:space="preserve"> </w:t>
      </w:r>
      <w:r w:rsidRPr="00C556BF">
        <w:rPr>
          <w:rFonts w:cs="Arial"/>
          <w:lang w:val="en-US"/>
        </w:rPr>
        <w:t>their</w:t>
      </w:r>
      <w:r w:rsidR="00D3425E" w:rsidRPr="00C556BF">
        <w:rPr>
          <w:rFonts w:cs="Arial"/>
          <w:lang w:val="en-US"/>
        </w:rPr>
        <w:t xml:space="preserve"> submission. </w:t>
      </w:r>
      <w:r w:rsidR="0065316A" w:rsidRPr="00C556BF">
        <w:rPr>
          <w:rFonts w:cs="Arial"/>
          <w:lang w:val="en-US"/>
        </w:rPr>
        <w:t>Providers</w:t>
      </w:r>
      <w:r w:rsidR="00D3425E" w:rsidRPr="00C556BF">
        <w:rPr>
          <w:rFonts w:cs="Arial"/>
          <w:lang w:val="en-US"/>
        </w:rPr>
        <w:t xml:space="preserve"> can print a copy of </w:t>
      </w:r>
      <w:r w:rsidR="0065316A" w:rsidRPr="00C556BF">
        <w:rPr>
          <w:rFonts w:cs="Arial"/>
          <w:lang w:val="en-US"/>
        </w:rPr>
        <w:t>their</w:t>
      </w:r>
      <w:r w:rsidR="00D3425E" w:rsidRPr="00C556BF">
        <w:rPr>
          <w:rFonts w:cs="Arial"/>
          <w:lang w:val="en-US"/>
        </w:rPr>
        <w:t xml:space="preserve"> ACFR to show </w:t>
      </w:r>
      <w:r w:rsidR="0065316A" w:rsidRPr="00C556BF">
        <w:rPr>
          <w:rFonts w:cs="Arial"/>
          <w:lang w:val="en-US"/>
        </w:rPr>
        <w:t>their</w:t>
      </w:r>
      <w:r w:rsidR="00D3425E" w:rsidRPr="00C556BF">
        <w:rPr>
          <w:rFonts w:cs="Arial"/>
          <w:lang w:val="en-US"/>
        </w:rPr>
        <w:t xml:space="preserve"> </w:t>
      </w:r>
      <w:r w:rsidR="004940D4" w:rsidRPr="00C556BF">
        <w:rPr>
          <w:rFonts w:cs="Arial"/>
          <w:lang w:val="en-US"/>
        </w:rPr>
        <w:t>a</w:t>
      </w:r>
      <w:r w:rsidR="00D3425E" w:rsidRPr="00C556BF">
        <w:rPr>
          <w:rFonts w:cs="Arial"/>
          <w:lang w:val="en-US"/>
        </w:rPr>
        <w:t xml:space="preserve">uditor before completing and attaching a copy of their report. The auditor can keep a copy of the APCS and their audit opinion for their own records. Audit guides are available </w:t>
      </w:r>
      <w:hyperlink r:id="rId23" w:history="1">
        <w:r w:rsidR="00D3425E" w:rsidRPr="008E4263">
          <w:rPr>
            <w:rStyle w:val="Hyperlink"/>
            <w:rFonts w:cs="Arial"/>
            <w:lang w:val="en-US"/>
          </w:rPr>
          <w:t>online</w:t>
        </w:r>
      </w:hyperlink>
      <w:r w:rsidR="008E4263">
        <w:rPr>
          <w:rFonts w:cs="Arial"/>
          <w:lang w:val="en-US"/>
        </w:rPr>
        <w:t xml:space="preserve">. </w:t>
      </w:r>
      <w:r w:rsidR="00D3425E" w:rsidRPr="00C556BF">
        <w:rPr>
          <w:rFonts w:cs="Arial"/>
          <w:lang w:val="en-US"/>
        </w:rPr>
        <w:t xml:space="preserve"> </w:t>
      </w:r>
    </w:p>
    <w:p w14:paraId="233532AA" w14:textId="266D6975" w:rsidR="00D3425E" w:rsidRPr="00C556BF" w:rsidRDefault="00D3425E" w:rsidP="003144BB">
      <w:pPr>
        <w:pStyle w:val="ListParagraph"/>
        <w:numPr>
          <w:ilvl w:val="0"/>
          <w:numId w:val="12"/>
        </w:numPr>
        <w:autoSpaceDE w:val="0"/>
        <w:autoSpaceDN w:val="0"/>
        <w:adjustRightInd w:val="0"/>
        <w:ind w:left="357" w:hanging="357"/>
        <w:rPr>
          <w:rFonts w:cs="Arial"/>
          <w:lang w:val="en-US"/>
        </w:rPr>
      </w:pPr>
      <w:r w:rsidRPr="00C556BF">
        <w:rPr>
          <w:rFonts w:cs="Arial"/>
          <w:lang w:val="en-US"/>
        </w:rPr>
        <w:t xml:space="preserve">Please ensure </w:t>
      </w:r>
      <w:r w:rsidR="00A6437C" w:rsidRPr="00C556BF">
        <w:rPr>
          <w:rFonts w:cs="Arial"/>
          <w:lang w:val="en-US"/>
        </w:rPr>
        <w:t xml:space="preserve">the </w:t>
      </w:r>
      <w:r w:rsidR="009B233E" w:rsidRPr="00C556BF">
        <w:rPr>
          <w:rFonts w:cs="Arial"/>
          <w:lang w:val="en-US"/>
        </w:rPr>
        <w:t>a</w:t>
      </w:r>
      <w:r w:rsidRPr="00C556BF">
        <w:rPr>
          <w:rFonts w:cs="Arial"/>
          <w:lang w:val="en-US"/>
        </w:rPr>
        <w:t xml:space="preserve">uditor has read the instructions and completed their audit accordingly. The compliance audit is separate from </w:t>
      </w:r>
      <w:r w:rsidR="00E414A5" w:rsidRPr="00C556BF">
        <w:rPr>
          <w:rFonts w:cs="Arial"/>
          <w:lang w:val="en-US"/>
        </w:rPr>
        <w:t>the</w:t>
      </w:r>
      <w:r w:rsidRPr="00C556BF">
        <w:rPr>
          <w:rFonts w:cs="Arial"/>
          <w:lang w:val="en-US"/>
        </w:rPr>
        <w:t xml:space="preserve"> GPFS financial audit and one </w:t>
      </w:r>
      <w:r w:rsidR="009B233E" w:rsidRPr="00C556BF">
        <w:rPr>
          <w:rFonts w:cs="Arial"/>
          <w:lang w:val="en-US"/>
        </w:rPr>
        <w:t>a</w:t>
      </w:r>
      <w:r w:rsidRPr="00C556BF">
        <w:rPr>
          <w:rFonts w:cs="Arial"/>
          <w:lang w:val="en-US"/>
        </w:rPr>
        <w:t xml:space="preserve">udit </w:t>
      </w:r>
      <w:r w:rsidR="009B233E" w:rsidRPr="00C556BF">
        <w:rPr>
          <w:rFonts w:cs="Arial"/>
          <w:lang w:val="en-US"/>
        </w:rPr>
        <w:t>r</w:t>
      </w:r>
      <w:r w:rsidRPr="00C556BF">
        <w:rPr>
          <w:rFonts w:cs="Arial"/>
          <w:lang w:val="en-US"/>
        </w:rPr>
        <w:t xml:space="preserve">eport that covers both the </w:t>
      </w:r>
      <w:r w:rsidR="009B233E" w:rsidRPr="00C556BF">
        <w:rPr>
          <w:rFonts w:cs="Arial"/>
          <w:lang w:val="en-US"/>
        </w:rPr>
        <w:t xml:space="preserve">prudential compliance </w:t>
      </w:r>
      <w:r w:rsidRPr="00C556BF">
        <w:rPr>
          <w:rFonts w:cs="Arial"/>
          <w:lang w:val="en-US"/>
        </w:rPr>
        <w:t xml:space="preserve">and the </w:t>
      </w:r>
      <w:r w:rsidR="009B233E" w:rsidRPr="00C556BF">
        <w:rPr>
          <w:rFonts w:cs="Arial"/>
          <w:lang w:val="en-US"/>
        </w:rPr>
        <w:t xml:space="preserve">GPFS </w:t>
      </w:r>
      <w:r w:rsidRPr="00C556BF">
        <w:rPr>
          <w:rFonts w:cs="Arial"/>
          <w:lang w:val="en-US"/>
        </w:rPr>
        <w:t>is not acceptable.</w:t>
      </w:r>
    </w:p>
    <w:p w14:paraId="5EF9804F" w14:textId="2EBCE564" w:rsidR="00D3425E" w:rsidRPr="00341487" w:rsidRDefault="00D3425E" w:rsidP="00E4088C">
      <w:pPr>
        <w:spacing w:before="200" w:after="0"/>
        <w:rPr>
          <w:rFonts w:eastAsiaTheme="majorEastAsia" w:cs="Arial"/>
          <w:b/>
          <w:bCs/>
          <w:color w:val="002060"/>
          <w:sz w:val="24"/>
          <w:szCs w:val="28"/>
        </w:rPr>
      </w:pPr>
      <w:bookmarkStart w:id="15" w:name="_Toc488160253"/>
      <w:r w:rsidRPr="00341487">
        <w:rPr>
          <w:rFonts w:eastAsiaTheme="majorEastAsia" w:cs="Arial"/>
          <w:b/>
          <w:bCs/>
          <w:color w:val="002060"/>
          <w:sz w:val="24"/>
          <w:szCs w:val="28"/>
        </w:rPr>
        <w:t xml:space="preserve">Compliance with </w:t>
      </w:r>
      <w:r w:rsidR="009B233E" w:rsidRPr="00341487">
        <w:rPr>
          <w:rFonts w:eastAsiaTheme="majorEastAsia" w:cs="Arial"/>
          <w:b/>
          <w:bCs/>
          <w:color w:val="002060"/>
          <w:sz w:val="24"/>
          <w:szCs w:val="28"/>
        </w:rPr>
        <w:t>p</w:t>
      </w:r>
      <w:r w:rsidRPr="00341487">
        <w:rPr>
          <w:rFonts w:eastAsiaTheme="majorEastAsia" w:cs="Arial"/>
          <w:b/>
          <w:bCs/>
          <w:color w:val="002060"/>
          <w:sz w:val="24"/>
          <w:szCs w:val="28"/>
        </w:rPr>
        <w:t xml:space="preserve">rudential </w:t>
      </w:r>
      <w:r w:rsidR="009B233E" w:rsidRPr="00341487">
        <w:rPr>
          <w:rFonts w:eastAsiaTheme="majorEastAsia" w:cs="Arial"/>
          <w:b/>
          <w:bCs/>
          <w:color w:val="002060"/>
          <w:sz w:val="24"/>
          <w:szCs w:val="28"/>
        </w:rPr>
        <w:t>s</w:t>
      </w:r>
      <w:r w:rsidRPr="00341487">
        <w:rPr>
          <w:rFonts w:eastAsiaTheme="majorEastAsia" w:cs="Arial"/>
          <w:b/>
          <w:bCs/>
          <w:color w:val="002060"/>
          <w:sz w:val="24"/>
          <w:szCs w:val="28"/>
        </w:rPr>
        <w:t>tandards questions:</w:t>
      </w:r>
      <w:bookmarkEnd w:id="15"/>
    </w:p>
    <w:p w14:paraId="24BC2F57" w14:textId="779EF04F" w:rsidR="00D3425E" w:rsidRPr="00DF1525" w:rsidRDefault="001868BC" w:rsidP="008E4263">
      <w:pPr>
        <w:pStyle w:val="ListBullet"/>
        <w:spacing w:before="120"/>
        <w:ind w:left="357" w:hanging="357"/>
        <w:rPr>
          <w:lang w:val="en-US"/>
        </w:rPr>
      </w:pPr>
      <w:r>
        <w:rPr>
          <w:lang w:val="en-US"/>
        </w:rPr>
        <w:t>b</w:t>
      </w:r>
      <w:r w:rsidR="00D3425E" w:rsidRPr="00DF1525">
        <w:rPr>
          <w:lang w:val="en-US"/>
        </w:rPr>
        <w:t>onds held</w:t>
      </w:r>
    </w:p>
    <w:p w14:paraId="7CB5A9D4" w14:textId="387E3A10" w:rsidR="009527D2" w:rsidRPr="00DF1525" w:rsidRDefault="009527D2" w:rsidP="008E4263">
      <w:pPr>
        <w:pStyle w:val="ListBullet"/>
        <w:spacing w:before="120"/>
        <w:ind w:left="357" w:hanging="357"/>
        <w:rPr>
          <w:lang w:val="en-US"/>
        </w:rPr>
      </w:pPr>
      <w:r>
        <w:rPr>
          <w:lang w:val="en-US"/>
        </w:rPr>
        <w:t>t</w:t>
      </w:r>
      <w:r w:rsidR="00D3425E" w:rsidRPr="00DF1525">
        <w:rPr>
          <w:lang w:val="en-US"/>
        </w:rPr>
        <w:t xml:space="preserve">otal value of refundable deposits and bond payments received in the </w:t>
      </w:r>
      <w:proofErr w:type="spellStart"/>
      <w:r w:rsidR="00D3425E" w:rsidRPr="00DF1525">
        <w:rPr>
          <w:lang w:val="en-US"/>
        </w:rPr>
        <w:t>year</w:t>
      </w:r>
      <w:r>
        <w:rPr>
          <w:lang w:val="en-US"/>
        </w:rPr>
        <w:t>t</w:t>
      </w:r>
      <w:proofErr w:type="spellEnd"/>
    </w:p>
    <w:p w14:paraId="12A48162" w14:textId="10EED235" w:rsidR="009527D2" w:rsidRPr="009527D2" w:rsidRDefault="009527D2" w:rsidP="008E4263">
      <w:pPr>
        <w:pStyle w:val="ListBullet"/>
        <w:spacing w:before="120"/>
        <w:ind w:left="357" w:hanging="357"/>
        <w:rPr>
          <w:lang w:val="en-US"/>
        </w:rPr>
      </w:pPr>
      <w:r>
        <w:rPr>
          <w:lang w:val="en-US"/>
        </w:rPr>
        <w:t>t</w:t>
      </w:r>
      <w:r w:rsidR="00D3425E" w:rsidRPr="009527D2">
        <w:rPr>
          <w:lang w:val="en-US"/>
        </w:rPr>
        <w:t>otal amount deducted from balances in the year</w:t>
      </w:r>
    </w:p>
    <w:p w14:paraId="58BEFB0D" w14:textId="3502FF4A" w:rsidR="00D3425E" w:rsidRPr="009527D2" w:rsidRDefault="009527D2" w:rsidP="008E4263">
      <w:pPr>
        <w:pStyle w:val="ListBullet"/>
        <w:spacing w:before="120"/>
        <w:ind w:left="357" w:hanging="357"/>
        <w:rPr>
          <w:lang w:val="en-US"/>
        </w:rPr>
      </w:pPr>
      <w:r>
        <w:rPr>
          <w:lang w:val="en-US"/>
        </w:rPr>
        <w:t>c</w:t>
      </w:r>
      <w:r w:rsidR="00D3425E" w:rsidRPr="009527D2">
        <w:rPr>
          <w:lang w:val="en-US"/>
        </w:rPr>
        <w:t xml:space="preserve">ompliance with the </w:t>
      </w:r>
      <w:r w:rsidR="003963C9" w:rsidRPr="009527D2">
        <w:rPr>
          <w:lang w:val="en-US"/>
        </w:rPr>
        <w:t>p</w:t>
      </w:r>
      <w:r w:rsidR="00D3425E" w:rsidRPr="009527D2">
        <w:rPr>
          <w:lang w:val="en-US"/>
        </w:rPr>
        <w:t xml:space="preserve">rudential </w:t>
      </w:r>
      <w:r w:rsidR="003963C9" w:rsidRPr="009527D2">
        <w:rPr>
          <w:lang w:val="en-US"/>
        </w:rPr>
        <w:t>s</w:t>
      </w:r>
      <w:r w:rsidR="00D3425E" w:rsidRPr="009527D2">
        <w:rPr>
          <w:lang w:val="en-US"/>
        </w:rPr>
        <w:t>tandards</w:t>
      </w:r>
    </w:p>
    <w:p w14:paraId="31B1FF76" w14:textId="2A574311" w:rsidR="00D3425E" w:rsidRPr="00DF1525" w:rsidRDefault="003963C9" w:rsidP="008E4263">
      <w:pPr>
        <w:pStyle w:val="ListBullet"/>
        <w:spacing w:before="120"/>
        <w:ind w:left="357" w:hanging="357"/>
        <w:rPr>
          <w:lang w:val="en-US"/>
        </w:rPr>
      </w:pPr>
      <w:r>
        <w:rPr>
          <w:lang w:val="en-US"/>
        </w:rPr>
        <w:t>l</w:t>
      </w:r>
      <w:r w:rsidR="00D3425E" w:rsidRPr="00DF1525">
        <w:rPr>
          <w:lang w:val="en-US"/>
        </w:rPr>
        <w:t xml:space="preserve">iquidity </w:t>
      </w:r>
      <w:r>
        <w:rPr>
          <w:lang w:val="en-US"/>
        </w:rPr>
        <w:t>s</w:t>
      </w:r>
      <w:r w:rsidR="00D3425E" w:rsidRPr="00DF1525">
        <w:rPr>
          <w:lang w:val="en-US"/>
        </w:rPr>
        <w:t>tandard</w:t>
      </w:r>
    </w:p>
    <w:p w14:paraId="14A20E43" w14:textId="5E517051" w:rsidR="00D3425E" w:rsidRPr="00DF1525" w:rsidRDefault="003963C9" w:rsidP="008E4263">
      <w:pPr>
        <w:pStyle w:val="ListBullet"/>
        <w:spacing w:before="120"/>
        <w:ind w:left="357" w:hanging="357"/>
        <w:rPr>
          <w:lang w:val="en-US"/>
        </w:rPr>
      </w:pPr>
      <w:r>
        <w:rPr>
          <w:lang w:val="en-US"/>
        </w:rPr>
        <w:t>r</w:t>
      </w:r>
      <w:r w:rsidR="00D3425E" w:rsidRPr="00DF1525">
        <w:rPr>
          <w:lang w:val="en-US"/>
        </w:rPr>
        <w:t xml:space="preserve">ecords </w:t>
      </w:r>
      <w:r>
        <w:rPr>
          <w:lang w:val="en-US"/>
        </w:rPr>
        <w:t>s</w:t>
      </w:r>
      <w:r w:rsidR="00D3425E" w:rsidRPr="00DF1525">
        <w:rPr>
          <w:lang w:val="en-US"/>
        </w:rPr>
        <w:t>tandard</w:t>
      </w:r>
    </w:p>
    <w:p w14:paraId="2809E341" w14:textId="68AFC079" w:rsidR="00D3425E" w:rsidRPr="00DF1525" w:rsidRDefault="003963C9" w:rsidP="008E4263">
      <w:pPr>
        <w:pStyle w:val="ListBullet"/>
        <w:spacing w:before="120"/>
        <w:ind w:left="357" w:hanging="357"/>
        <w:rPr>
          <w:lang w:val="en-US"/>
        </w:rPr>
      </w:pPr>
      <w:r>
        <w:rPr>
          <w:lang w:val="en-US"/>
        </w:rPr>
        <w:t>g</w:t>
      </w:r>
      <w:r w:rsidR="00D3425E" w:rsidRPr="00DF1525">
        <w:rPr>
          <w:lang w:val="en-US"/>
        </w:rPr>
        <w:t xml:space="preserve">overnance </w:t>
      </w:r>
      <w:r>
        <w:rPr>
          <w:lang w:val="en-US"/>
        </w:rPr>
        <w:t>s</w:t>
      </w:r>
      <w:r w:rsidR="00D3425E" w:rsidRPr="00DF1525">
        <w:rPr>
          <w:lang w:val="en-US"/>
        </w:rPr>
        <w:t>tandard</w:t>
      </w:r>
    </w:p>
    <w:p w14:paraId="1E5FEFF5" w14:textId="4526A7D8" w:rsidR="00D3425E" w:rsidRDefault="003963C9" w:rsidP="008E4263">
      <w:pPr>
        <w:pStyle w:val="ListBullet"/>
        <w:spacing w:before="120"/>
        <w:ind w:left="357" w:hanging="357"/>
        <w:rPr>
          <w:lang w:val="en-US"/>
        </w:rPr>
      </w:pPr>
      <w:r>
        <w:rPr>
          <w:lang w:val="en-US"/>
        </w:rPr>
        <w:t>d</w:t>
      </w:r>
      <w:r w:rsidR="00D3425E" w:rsidRPr="00DF1525">
        <w:rPr>
          <w:lang w:val="en-US"/>
        </w:rPr>
        <w:t xml:space="preserve">isclosure </w:t>
      </w:r>
      <w:r>
        <w:rPr>
          <w:lang w:val="en-US"/>
        </w:rPr>
        <w:t>s</w:t>
      </w:r>
      <w:r w:rsidR="00D3425E" w:rsidRPr="00DF1525">
        <w:rPr>
          <w:lang w:val="en-US"/>
        </w:rPr>
        <w:t>tandard</w:t>
      </w:r>
    </w:p>
    <w:p w14:paraId="032901F0" w14:textId="77777777" w:rsidR="00CF7E18" w:rsidRDefault="00CF7E18" w:rsidP="00CF7E18">
      <w:pPr>
        <w:pStyle w:val="ListBullet"/>
        <w:numPr>
          <w:ilvl w:val="0"/>
          <w:numId w:val="0"/>
        </w:numPr>
        <w:ind w:left="360"/>
        <w:rPr>
          <w:lang w:val="en-US"/>
        </w:rPr>
      </w:pPr>
    </w:p>
    <w:p w14:paraId="56420A90" w14:textId="77777777" w:rsidR="000B13B3" w:rsidRDefault="000B13B3" w:rsidP="00CF7E18">
      <w:pPr>
        <w:pStyle w:val="ListBullet"/>
        <w:numPr>
          <w:ilvl w:val="0"/>
          <w:numId w:val="0"/>
        </w:numPr>
        <w:ind w:left="360"/>
        <w:rPr>
          <w:lang w:val="en-US"/>
        </w:rPr>
      </w:pPr>
    </w:p>
    <w:p w14:paraId="010F7413" w14:textId="77777777" w:rsidR="003144BB" w:rsidRPr="00DF1525" w:rsidRDefault="003144BB" w:rsidP="00CF7E18">
      <w:pPr>
        <w:pStyle w:val="ListBullet"/>
        <w:numPr>
          <w:ilvl w:val="0"/>
          <w:numId w:val="0"/>
        </w:numPr>
        <w:ind w:left="360"/>
        <w:rPr>
          <w:lang w:val="en-US"/>
        </w:rPr>
      </w:pPr>
    </w:p>
    <w:p w14:paraId="61855E72" w14:textId="4FBB02C0" w:rsidR="00D3425E" w:rsidRPr="00341487" w:rsidRDefault="00D3425E" w:rsidP="00341487">
      <w:pPr>
        <w:pStyle w:val="ListBullet"/>
        <w:numPr>
          <w:ilvl w:val="0"/>
          <w:numId w:val="0"/>
        </w:numPr>
        <w:rPr>
          <w:rFonts w:eastAsiaTheme="majorEastAsia"/>
          <w:b/>
          <w:bCs/>
          <w:color w:val="002060"/>
          <w:sz w:val="24"/>
          <w:szCs w:val="28"/>
        </w:rPr>
      </w:pPr>
      <w:r w:rsidRPr="00341487">
        <w:rPr>
          <w:rFonts w:eastAsiaTheme="majorEastAsia"/>
          <w:b/>
          <w:bCs/>
          <w:color w:val="002060"/>
          <w:sz w:val="24"/>
          <w:szCs w:val="28"/>
        </w:rPr>
        <w:t xml:space="preserve">Compliance with </w:t>
      </w:r>
      <w:r w:rsidR="003963C9" w:rsidRPr="00341487">
        <w:rPr>
          <w:rFonts w:eastAsiaTheme="majorEastAsia"/>
          <w:b/>
          <w:bCs/>
          <w:color w:val="002060"/>
          <w:sz w:val="24"/>
          <w:szCs w:val="28"/>
        </w:rPr>
        <w:t>r</w:t>
      </w:r>
      <w:r w:rsidRPr="00341487">
        <w:rPr>
          <w:rFonts w:eastAsiaTheme="majorEastAsia"/>
          <w:b/>
          <w:bCs/>
          <w:color w:val="002060"/>
          <w:sz w:val="24"/>
          <w:szCs w:val="28"/>
        </w:rPr>
        <w:t xml:space="preserve">efundable </w:t>
      </w:r>
      <w:r w:rsidR="003963C9" w:rsidRPr="00341487">
        <w:rPr>
          <w:rFonts w:eastAsiaTheme="majorEastAsia"/>
          <w:b/>
          <w:bCs/>
          <w:color w:val="002060"/>
          <w:sz w:val="24"/>
          <w:szCs w:val="28"/>
        </w:rPr>
        <w:t>a</w:t>
      </w:r>
      <w:r w:rsidRPr="00341487">
        <w:rPr>
          <w:rFonts w:eastAsiaTheme="majorEastAsia"/>
          <w:b/>
          <w:bCs/>
          <w:color w:val="002060"/>
          <w:sz w:val="24"/>
          <w:szCs w:val="28"/>
        </w:rPr>
        <w:t xml:space="preserve">ccommodation </w:t>
      </w:r>
      <w:r w:rsidR="003963C9" w:rsidRPr="00341487">
        <w:rPr>
          <w:rFonts w:eastAsiaTheme="majorEastAsia"/>
          <w:b/>
          <w:bCs/>
          <w:color w:val="002060"/>
          <w:sz w:val="24"/>
          <w:szCs w:val="28"/>
        </w:rPr>
        <w:t>p</w:t>
      </w:r>
      <w:r w:rsidRPr="00341487">
        <w:rPr>
          <w:rFonts w:eastAsiaTheme="majorEastAsia"/>
          <w:b/>
          <w:bCs/>
          <w:color w:val="002060"/>
          <w:sz w:val="24"/>
          <w:szCs w:val="28"/>
        </w:rPr>
        <w:t>ayments</w:t>
      </w:r>
    </w:p>
    <w:p w14:paraId="54853073" w14:textId="546565CD" w:rsidR="00D3425E" w:rsidRPr="00DF1525" w:rsidRDefault="003963C9" w:rsidP="008E4263">
      <w:pPr>
        <w:pStyle w:val="ListBullet"/>
        <w:spacing w:before="120" w:after="120"/>
        <w:ind w:left="357" w:hanging="357"/>
        <w:rPr>
          <w:lang w:val="en-US"/>
        </w:rPr>
      </w:pPr>
      <w:r>
        <w:rPr>
          <w:lang w:val="en-US"/>
        </w:rPr>
        <w:t>l</w:t>
      </w:r>
      <w:r w:rsidR="00D3425E" w:rsidRPr="00DF1525">
        <w:rPr>
          <w:lang w:val="en-US"/>
        </w:rPr>
        <w:t xml:space="preserve">imits on charging refundable deposits or bonds </w:t>
      </w:r>
    </w:p>
    <w:p w14:paraId="14A0A158" w14:textId="50FF5272" w:rsidR="00D3425E" w:rsidRPr="00DF1525" w:rsidRDefault="003963C9" w:rsidP="008E4263">
      <w:pPr>
        <w:pStyle w:val="ListBullet"/>
        <w:spacing w:before="120" w:after="120"/>
        <w:ind w:left="357" w:hanging="357"/>
        <w:rPr>
          <w:lang w:val="en-US"/>
        </w:rPr>
      </w:pPr>
      <w:r>
        <w:rPr>
          <w:lang w:val="en-US"/>
        </w:rPr>
        <w:t>c</w:t>
      </w:r>
      <w:r w:rsidR="00D3425E" w:rsidRPr="00DF1525">
        <w:rPr>
          <w:lang w:val="en-US"/>
        </w:rPr>
        <w:t>ompliance with rules around charging bonds</w:t>
      </w:r>
    </w:p>
    <w:p w14:paraId="715A6038" w14:textId="6E0ACB9C" w:rsidR="00D3425E" w:rsidRPr="00DF1525" w:rsidRDefault="003963C9" w:rsidP="008E4263">
      <w:pPr>
        <w:pStyle w:val="ListBullet"/>
        <w:spacing w:before="120" w:after="120"/>
        <w:ind w:left="357" w:hanging="357"/>
        <w:rPr>
          <w:lang w:val="en-US"/>
        </w:rPr>
      </w:pPr>
      <w:r>
        <w:rPr>
          <w:lang w:val="en-US"/>
        </w:rPr>
        <w:t>c</w:t>
      </w:r>
      <w:r w:rsidR="00D3425E" w:rsidRPr="00DF1525">
        <w:rPr>
          <w:lang w:val="en-US"/>
        </w:rPr>
        <w:t xml:space="preserve">ompliance with rules around charging accommodation payments </w:t>
      </w:r>
    </w:p>
    <w:p w14:paraId="332A277A" w14:textId="2F32049A" w:rsidR="00D3425E" w:rsidRPr="00DF1525" w:rsidRDefault="003963C9" w:rsidP="008E4263">
      <w:pPr>
        <w:pStyle w:val="ListBullet"/>
        <w:spacing w:before="120" w:after="120"/>
        <w:ind w:left="357" w:hanging="357"/>
        <w:rPr>
          <w:lang w:val="en-US"/>
        </w:rPr>
      </w:pPr>
      <w:r>
        <w:rPr>
          <w:lang w:val="en-US"/>
        </w:rPr>
        <w:t>c</w:t>
      </w:r>
      <w:r w:rsidR="00D3425E" w:rsidRPr="00DF1525">
        <w:rPr>
          <w:lang w:val="en-US"/>
        </w:rPr>
        <w:t>ompliance with refunding responsibilities</w:t>
      </w:r>
    </w:p>
    <w:p w14:paraId="733932C8" w14:textId="7DA5ACCD" w:rsidR="00D3425E" w:rsidRPr="00341487" w:rsidRDefault="00D3425E" w:rsidP="00E4088C">
      <w:pPr>
        <w:spacing w:before="200" w:after="0"/>
        <w:rPr>
          <w:rFonts w:eastAsiaTheme="majorEastAsia" w:cs="Arial"/>
          <w:b/>
          <w:bCs/>
          <w:color w:val="002060"/>
          <w:sz w:val="24"/>
          <w:szCs w:val="28"/>
        </w:rPr>
      </w:pPr>
      <w:bookmarkStart w:id="16" w:name="_Toc488160254"/>
      <w:r w:rsidRPr="00341487">
        <w:rPr>
          <w:rFonts w:eastAsiaTheme="majorEastAsia" w:cs="Arial"/>
          <w:b/>
          <w:bCs/>
          <w:color w:val="002060"/>
          <w:sz w:val="24"/>
          <w:szCs w:val="28"/>
        </w:rPr>
        <w:t xml:space="preserve">Compliance with the </w:t>
      </w:r>
      <w:r w:rsidR="003963C9" w:rsidRPr="00341487">
        <w:rPr>
          <w:rFonts w:eastAsiaTheme="majorEastAsia" w:cs="Arial"/>
          <w:b/>
          <w:bCs/>
          <w:color w:val="002060"/>
          <w:sz w:val="24"/>
          <w:szCs w:val="28"/>
        </w:rPr>
        <w:t>p</w:t>
      </w:r>
      <w:r w:rsidRPr="00341487">
        <w:rPr>
          <w:rFonts w:eastAsiaTheme="majorEastAsia" w:cs="Arial"/>
          <w:b/>
          <w:bCs/>
          <w:color w:val="002060"/>
          <w:sz w:val="24"/>
          <w:szCs w:val="28"/>
        </w:rPr>
        <w:t xml:space="preserve">rovision of </w:t>
      </w:r>
      <w:r w:rsidR="003963C9" w:rsidRPr="00341487">
        <w:rPr>
          <w:rFonts w:eastAsiaTheme="majorEastAsia" w:cs="Arial"/>
          <w:b/>
          <w:bCs/>
          <w:color w:val="002060"/>
          <w:sz w:val="24"/>
          <w:szCs w:val="28"/>
        </w:rPr>
        <w:t>o</w:t>
      </w:r>
      <w:r w:rsidRPr="00341487">
        <w:rPr>
          <w:rFonts w:eastAsiaTheme="majorEastAsia" w:cs="Arial"/>
          <w:b/>
          <w:bCs/>
          <w:color w:val="002060"/>
          <w:sz w:val="24"/>
          <w:szCs w:val="28"/>
        </w:rPr>
        <w:t xml:space="preserve">ther </w:t>
      </w:r>
      <w:r w:rsidR="003963C9" w:rsidRPr="00341487">
        <w:rPr>
          <w:rFonts w:eastAsiaTheme="majorEastAsia" w:cs="Arial"/>
          <w:b/>
          <w:bCs/>
          <w:color w:val="002060"/>
          <w:sz w:val="24"/>
          <w:szCs w:val="28"/>
        </w:rPr>
        <w:t>c</w:t>
      </w:r>
      <w:r w:rsidRPr="00341487">
        <w:rPr>
          <w:rFonts w:eastAsiaTheme="majorEastAsia" w:cs="Arial"/>
          <w:b/>
          <w:bCs/>
          <w:color w:val="002060"/>
          <w:sz w:val="24"/>
          <w:szCs w:val="28"/>
        </w:rPr>
        <w:t xml:space="preserve">are and </w:t>
      </w:r>
      <w:r w:rsidR="003963C9" w:rsidRPr="00341487">
        <w:rPr>
          <w:rFonts w:eastAsiaTheme="majorEastAsia" w:cs="Arial"/>
          <w:b/>
          <w:bCs/>
          <w:color w:val="002060"/>
          <w:sz w:val="24"/>
          <w:szCs w:val="28"/>
        </w:rPr>
        <w:t>s</w:t>
      </w:r>
      <w:r w:rsidRPr="00341487">
        <w:rPr>
          <w:rFonts w:eastAsiaTheme="majorEastAsia" w:cs="Arial"/>
          <w:b/>
          <w:bCs/>
          <w:color w:val="002060"/>
          <w:sz w:val="24"/>
          <w:szCs w:val="28"/>
        </w:rPr>
        <w:t xml:space="preserve">ervice </w:t>
      </w:r>
      <w:r w:rsidR="003963C9" w:rsidRPr="00341487">
        <w:rPr>
          <w:rFonts w:eastAsiaTheme="majorEastAsia" w:cs="Arial"/>
          <w:b/>
          <w:bCs/>
          <w:color w:val="002060"/>
          <w:sz w:val="24"/>
          <w:szCs w:val="28"/>
        </w:rPr>
        <w:t>f</w:t>
      </w:r>
      <w:r w:rsidRPr="00341487">
        <w:rPr>
          <w:rFonts w:eastAsiaTheme="majorEastAsia" w:cs="Arial"/>
          <w:b/>
          <w:bCs/>
          <w:color w:val="002060"/>
          <w:sz w:val="24"/>
          <w:szCs w:val="28"/>
        </w:rPr>
        <w:t xml:space="preserve">ees </w:t>
      </w:r>
    </w:p>
    <w:p w14:paraId="745E1D16" w14:textId="46E5DC5B" w:rsidR="00D3425E" w:rsidRPr="00DF1525" w:rsidRDefault="003963C9" w:rsidP="008E4263">
      <w:pPr>
        <w:pStyle w:val="ListBullet"/>
        <w:spacing w:before="120" w:after="120"/>
        <w:ind w:left="357" w:hanging="357"/>
        <w:rPr>
          <w:lang w:val="en-US"/>
        </w:rPr>
      </w:pPr>
      <w:r>
        <w:rPr>
          <w:lang w:val="en-US"/>
        </w:rPr>
        <w:t>c</w:t>
      </w:r>
      <w:r w:rsidR="00D3425E" w:rsidRPr="00DF1525">
        <w:rPr>
          <w:lang w:val="en-US"/>
        </w:rPr>
        <w:t xml:space="preserve">ompliance with </w:t>
      </w:r>
      <w:r>
        <w:rPr>
          <w:lang w:val="en-US"/>
        </w:rPr>
        <w:t>o</w:t>
      </w:r>
      <w:r w:rsidR="00D3425E" w:rsidRPr="00DF1525">
        <w:rPr>
          <w:lang w:val="en-US"/>
        </w:rPr>
        <w:t xml:space="preserve">ther </w:t>
      </w:r>
      <w:r>
        <w:rPr>
          <w:lang w:val="en-US"/>
        </w:rPr>
        <w:t>c</w:t>
      </w:r>
      <w:r w:rsidR="00D3425E" w:rsidRPr="00DF1525">
        <w:rPr>
          <w:lang w:val="en-US"/>
        </w:rPr>
        <w:t xml:space="preserve">are and </w:t>
      </w:r>
      <w:r>
        <w:rPr>
          <w:lang w:val="en-US"/>
        </w:rPr>
        <w:t>s</w:t>
      </w:r>
      <w:r w:rsidR="00D3425E" w:rsidRPr="00DF1525">
        <w:rPr>
          <w:lang w:val="en-US"/>
        </w:rPr>
        <w:t xml:space="preserve">ervice </w:t>
      </w:r>
      <w:r>
        <w:rPr>
          <w:lang w:val="en-US"/>
        </w:rPr>
        <w:t>f</w:t>
      </w:r>
      <w:r w:rsidR="00D3425E" w:rsidRPr="00DF1525">
        <w:rPr>
          <w:lang w:val="en-US"/>
        </w:rPr>
        <w:t>ee charging responsibilities</w:t>
      </w:r>
    </w:p>
    <w:p w14:paraId="598ECDB3" w14:textId="663878E9" w:rsidR="00D3425E" w:rsidRPr="00341487" w:rsidRDefault="00D3425E" w:rsidP="00DF1525">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Compliance with </w:t>
      </w:r>
      <w:r w:rsidR="003963C9" w:rsidRPr="00341487">
        <w:rPr>
          <w:rFonts w:eastAsiaTheme="majorEastAsia" w:cs="Arial"/>
          <w:b/>
          <w:bCs/>
          <w:color w:val="002060"/>
          <w:sz w:val="24"/>
          <w:szCs w:val="28"/>
        </w:rPr>
        <w:t>r</w:t>
      </w:r>
      <w:r w:rsidRPr="00341487">
        <w:rPr>
          <w:rFonts w:eastAsiaTheme="majorEastAsia" w:cs="Arial"/>
          <w:b/>
          <w:bCs/>
          <w:color w:val="002060"/>
          <w:sz w:val="24"/>
          <w:szCs w:val="28"/>
        </w:rPr>
        <w:t xml:space="preserve">efunding </w:t>
      </w:r>
      <w:r w:rsidR="003963C9" w:rsidRPr="00341487">
        <w:rPr>
          <w:rFonts w:eastAsiaTheme="majorEastAsia" w:cs="Arial"/>
          <w:b/>
          <w:bCs/>
          <w:color w:val="002060"/>
          <w:sz w:val="24"/>
          <w:szCs w:val="28"/>
        </w:rPr>
        <w:t>r</w:t>
      </w:r>
      <w:r w:rsidRPr="00341487">
        <w:rPr>
          <w:rFonts w:eastAsiaTheme="majorEastAsia" w:cs="Arial"/>
          <w:b/>
          <w:bCs/>
          <w:color w:val="002060"/>
          <w:sz w:val="24"/>
          <w:szCs w:val="28"/>
        </w:rPr>
        <w:t>esponsibilities</w:t>
      </w:r>
    </w:p>
    <w:p w14:paraId="56763DD8" w14:textId="1F837B0E" w:rsidR="00D3425E" w:rsidRPr="00DF1525" w:rsidRDefault="003963C9" w:rsidP="008E4263">
      <w:pPr>
        <w:pStyle w:val="ListBullet"/>
        <w:spacing w:before="120" w:after="120"/>
        <w:ind w:left="357" w:hanging="357"/>
        <w:rPr>
          <w:lang w:val="en-US"/>
        </w:rPr>
      </w:pPr>
      <w:r>
        <w:rPr>
          <w:lang w:val="en-US"/>
        </w:rPr>
        <w:t>r</w:t>
      </w:r>
      <w:r w:rsidR="00D3425E" w:rsidRPr="00DF1525">
        <w:rPr>
          <w:lang w:val="en-US"/>
        </w:rPr>
        <w:t>efund of refundable lump sum balances</w:t>
      </w:r>
    </w:p>
    <w:p w14:paraId="112F5DF0" w14:textId="12149DF5" w:rsidR="00D3425E" w:rsidRPr="00DF1525" w:rsidRDefault="003963C9" w:rsidP="008E4263">
      <w:pPr>
        <w:pStyle w:val="ListBullet"/>
        <w:spacing w:before="120" w:after="120"/>
        <w:ind w:left="357" w:hanging="357"/>
        <w:rPr>
          <w:lang w:val="en-US"/>
        </w:rPr>
      </w:pPr>
      <w:r>
        <w:rPr>
          <w:lang w:val="en-US"/>
        </w:rPr>
        <w:t>r</w:t>
      </w:r>
      <w:r w:rsidR="00D3425E" w:rsidRPr="00DF1525">
        <w:rPr>
          <w:lang w:val="en-US"/>
        </w:rPr>
        <w:t>efund of entry contribution balances</w:t>
      </w:r>
    </w:p>
    <w:bookmarkEnd w:id="16"/>
    <w:p w14:paraId="61338B30" w14:textId="3D2645A1" w:rsidR="00D3425E" w:rsidRPr="00341487" w:rsidRDefault="00D3425E" w:rsidP="00E4088C">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Compliance with </w:t>
      </w:r>
      <w:r w:rsidR="003963C9" w:rsidRPr="00341487">
        <w:rPr>
          <w:rFonts w:eastAsiaTheme="majorEastAsia" w:cs="Arial"/>
          <w:b/>
          <w:bCs/>
          <w:color w:val="002060"/>
          <w:sz w:val="24"/>
          <w:szCs w:val="28"/>
        </w:rPr>
        <w:t>r</w:t>
      </w:r>
      <w:r w:rsidRPr="00341487">
        <w:rPr>
          <w:rFonts w:eastAsiaTheme="majorEastAsia" w:cs="Arial"/>
          <w:b/>
          <w:bCs/>
          <w:color w:val="002060"/>
          <w:sz w:val="24"/>
          <w:szCs w:val="28"/>
        </w:rPr>
        <w:t xml:space="preserve">efundable </w:t>
      </w:r>
      <w:r w:rsidR="003963C9" w:rsidRPr="00341487">
        <w:rPr>
          <w:rFonts w:eastAsiaTheme="majorEastAsia" w:cs="Arial"/>
          <w:b/>
          <w:bCs/>
          <w:color w:val="002060"/>
          <w:sz w:val="24"/>
          <w:szCs w:val="28"/>
        </w:rPr>
        <w:t>a</w:t>
      </w:r>
      <w:r w:rsidRPr="00341487">
        <w:rPr>
          <w:rFonts w:eastAsiaTheme="majorEastAsia" w:cs="Arial"/>
          <w:b/>
          <w:bCs/>
          <w:color w:val="002060"/>
          <w:sz w:val="24"/>
          <w:szCs w:val="28"/>
        </w:rPr>
        <w:t xml:space="preserve">ccommodation </w:t>
      </w:r>
      <w:r w:rsidR="003963C9" w:rsidRPr="00341487">
        <w:rPr>
          <w:rFonts w:eastAsiaTheme="majorEastAsia" w:cs="Arial"/>
          <w:b/>
          <w:bCs/>
          <w:color w:val="002060"/>
          <w:sz w:val="24"/>
          <w:szCs w:val="28"/>
        </w:rPr>
        <w:t>p</w:t>
      </w:r>
      <w:r w:rsidRPr="00341487">
        <w:rPr>
          <w:rFonts w:eastAsiaTheme="majorEastAsia" w:cs="Arial"/>
          <w:b/>
          <w:bCs/>
          <w:color w:val="002060"/>
          <w:sz w:val="24"/>
          <w:szCs w:val="28"/>
        </w:rPr>
        <w:t xml:space="preserve">ayment </w:t>
      </w:r>
      <w:r w:rsidR="003963C9" w:rsidRPr="00341487">
        <w:rPr>
          <w:rFonts w:eastAsiaTheme="majorEastAsia" w:cs="Arial"/>
          <w:b/>
          <w:bCs/>
          <w:color w:val="002060"/>
          <w:sz w:val="24"/>
          <w:szCs w:val="28"/>
        </w:rPr>
        <w:t>r</w:t>
      </w:r>
      <w:r w:rsidRPr="00341487">
        <w:rPr>
          <w:rFonts w:eastAsiaTheme="majorEastAsia" w:cs="Arial"/>
          <w:b/>
          <w:bCs/>
          <w:color w:val="002060"/>
          <w:sz w:val="24"/>
          <w:szCs w:val="28"/>
        </w:rPr>
        <w:t>esponsibilities</w:t>
      </w:r>
    </w:p>
    <w:p w14:paraId="116FA9D3" w14:textId="1E8312B9" w:rsidR="00D3425E" w:rsidRPr="00DF1525" w:rsidRDefault="003963C9" w:rsidP="008E4263">
      <w:pPr>
        <w:pStyle w:val="ListBullet"/>
        <w:spacing w:before="120" w:after="120"/>
        <w:ind w:left="357" w:hanging="357"/>
        <w:rPr>
          <w:lang w:val="en-US"/>
        </w:rPr>
      </w:pPr>
      <w:r>
        <w:rPr>
          <w:lang w:val="en-US"/>
        </w:rPr>
        <w:t>t</w:t>
      </w:r>
      <w:r w:rsidR="00D3425E" w:rsidRPr="00DF1525">
        <w:rPr>
          <w:lang w:val="en-US"/>
        </w:rPr>
        <w:t xml:space="preserve">otal number of </w:t>
      </w:r>
      <w:r>
        <w:rPr>
          <w:lang w:val="en-US"/>
        </w:rPr>
        <w:t>r</w:t>
      </w:r>
      <w:r w:rsidR="00D3425E" w:rsidRPr="00DF1525">
        <w:rPr>
          <w:lang w:val="en-US"/>
        </w:rPr>
        <w:t xml:space="preserve">efundable </w:t>
      </w:r>
      <w:r>
        <w:rPr>
          <w:lang w:val="en-US"/>
        </w:rPr>
        <w:t>d</w:t>
      </w:r>
      <w:r w:rsidR="00D3425E" w:rsidRPr="00DF1525">
        <w:rPr>
          <w:lang w:val="en-US"/>
        </w:rPr>
        <w:t xml:space="preserve">eposit and </w:t>
      </w:r>
      <w:r>
        <w:rPr>
          <w:lang w:val="en-US"/>
        </w:rPr>
        <w:t>b</w:t>
      </w:r>
      <w:r w:rsidR="00D3425E" w:rsidRPr="00DF1525">
        <w:rPr>
          <w:lang w:val="en-US"/>
        </w:rPr>
        <w:t xml:space="preserve">ond </w:t>
      </w:r>
      <w:r>
        <w:rPr>
          <w:lang w:val="en-US"/>
        </w:rPr>
        <w:t>b</w:t>
      </w:r>
      <w:r w:rsidR="00D3425E" w:rsidRPr="00DF1525">
        <w:rPr>
          <w:lang w:val="en-US"/>
        </w:rPr>
        <w:t>alances held</w:t>
      </w:r>
    </w:p>
    <w:p w14:paraId="03D2C106" w14:textId="4F089106" w:rsidR="00D3425E" w:rsidRPr="00DF1525" w:rsidRDefault="003963C9" w:rsidP="008E4263">
      <w:pPr>
        <w:pStyle w:val="ListBullet"/>
        <w:spacing w:before="120" w:after="120"/>
        <w:ind w:left="357" w:hanging="357"/>
        <w:rPr>
          <w:lang w:val="en-US"/>
        </w:rPr>
      </w:pPr>
      <w:r>
        <w:rPr>
          <w:lang w:val="en-US"/>
        </w:rPr>
        <w:t>t</w:t>
      </w:r>
      <w:r w:rsidR="00D3425E" w:rsidRPr="00DF1525">
        <w:rPr>
          <w:lang w:val="en-US"/>
        </w:rPr>
        <w:t>otal value</w:t>
      </w:r>
      <w:r>
        <w:rPr>
          <w:lang w:val="en-US"/>
        </w:rPr>
        <w:t xml:space="preserve"> ($)</w:t>
      </w:r>
      <w:r w:rsidR="00D3425E" w:rsidRPr="00DF1525">
        <w:rPr>
          <w:lang w:val="en-US"/>
        </w:rPr>
        <w:t xml:space="preserve"> of </w:t>
      </w:r>
      <w:r>
        <w:rPr>
          <w:lang w:val="en-US"/>
        </w:rPr>
        <w:t>r</w:t>
      </w:r>
      <w:r w:rsidR="00D3425E" w:rsidRPr="00DF1525">
        <w:rPr>
          <w:lang w:val="en-US"/>
        </w:rPr>
        <w:t xml:space="preserve">efundable </w:t>
      </w:r>
      <w:r>
        <w:rPr>
          <w:lang w:val="en-US"/>
        </w:rPr>
        <w:t>d</w:t>
      </w:r>
      <w:r w:rsidR="00D3425E" w:rsidRPr="00DF1525">
        <w:rPr>
          <w:lang w:val="en-US"/>
        </w:rPr>
        <w:t xml:space="preserve">eposit and </w:t>
      </w:r>
      <w:r>
        <w:rPr>
          <w:lang w:val="en-US"/>
        </w:rPr>
        <w:t>b</w:t>
      </w:r>
      <w:r w:rsidR="00D3425E" w:rsidRPr="00DF1525">
        <w:rPr>
          <w:lang w:val="en-US"/>
        </w:rPr>
        <w:t xml:space="preserve">ond </w:t>
      </w:r>
      <w:r>
        <w:rPr>
          <w:lang w:val="en-US"/>
        </w:rPr>
        <w:t>b</w:t>
      </w:r>
      <w:r w:rsidR="00D3425E" w:rsidRPr="00DF1525">
        <w:rPr>
          <w:lang w:val="en-US"/>
        </w:rPr>
        <w:t>alances held</w:t>
      </w:r>
    </w:p>
    <w:p w14:paraId="4743AD97" w14:textId="1906B305" w:rsidR="00D3425E" w:rsidRPr="00DF1525" w:rsidRDefault="003963C9" w:rsidP="008E4263">
      <w:pPr>
        <w:pStyle w:val="ListBullet"/>
        <w:spacing w:before="120" w:after="120"/>
        <w:ind w:left="357" w:hanging="357"/>
        <w:rPr>
          <w:lang w:val="en-US"/>
        </w:rPr>
      </w:pPr>
      <w:r>
        <w:rPr>
          <w:lang w:val="en-US"/>
        </w:rPr>
        <w:t>t</w:t>
      </w:r>
      <w:r w:rsidR="00D3425E" w:rsidRPr="00DF1525">
        <w:rPr>
          <w:lang w:val="en-US"/>
        </w:rPr>
        <w:t>otal number of entry contribution (</w:t>
      </w:r>
      <w:proofErr w:type="gramStart"/>
      <w:r w:rsidR="00D3425E" w:rsidRPr="00DF1525">
        <w:rPr>
          <w:lang w:val="en-US"/>
        </w:rPr>
        <w:t>pre 1997</w:t>
      </w:r>
      <w:proofErr w:type="gramEnd"/>
      <w:r w:rsidR="00D3425E" w:rsidRPr="00DF1525">
        <w:rPr>
          <w:lang w:val="en-US"/>
        </w:rPr>
        <w:t>) balances held</w:t>
      </w:r>
    </w:p>
    <w:p w14:paraId="0A674C5B" w14:textId="16B0768A" w:rsidR="00D3425E" w:rsidRPr="00DF1525" w:rsidRDefault="003963C9" w:rsidP="008E4263">
      <w:pPr>
        <w:pStyle w:val="ListBullet"/>
        <w:spacing w:before="120" w:after="120"/>
        <w:ind w:left="357" w:hanging="357"/>
        <w:rPr>
          <w:lang w:val="en-US"/>
        </w:rPr>
      </w:pPr>
      <w:r>
        <w:rPr>
          <w:lang w:val="en-US"/>
        </w:rPr>
        <w:t>t</w:t>
      </w:r>
      <w:r w:rsidR="00D3425E" w:rsidRPr="00DF1525">
        <w:rPr>
          <w:lang w:val="en-US"/>
        </w:rPr>
        <w:t>otal value</w:t>
      </w:r>
      <w:r>
        <w:rPr>
          <w:lang w:val="en-US"/>
        </w:rPr>
        <w:t xml:space="preserve"> ($)</w:t>
      </w:r>
      <w:r w:rsidR="00D3425E" w:rsidRPr="00DF1525">
        <w:rPr>
          <w:lang w:val="en-US"/>
        </w:rPr>
        <w:t xml:space="preserve"> of entry contribution (</w:t>
      </w:r>
      <w:proofErr w:type="gramStart"/>
      <w:r w:rsidR="00D3425E" w:rsidRPr="00DF1525">
        <w:rPr>
          <w:lang w:val="en-US"/>
        </w:rPr>
        <w:t>pre 1997</w:t>
      </w:r>
      <w:proofErr w:type="gramEnd"/>
      <w:r w:rsidR="00D3425E" w:rsidRPr="00DF1525">
        <w:rPr>
          <w:lang w:val="en-US"/>
        </w:rPr>
        <w:t>) balances held</w:t>
      </w:r>
    </w:p>
    <w:p w14:paraId="37E8F203" w14:textId="08C588BF" w:rsidR="00D3425E" w:rsidRPr="00341487" w:rsidRDefault="00D3425E" w:rsidP="00E4088C">
      <w:pPr>
        <w:spacing w:before="200" w:after="0"/>
        <w:rPr>
          <w:rFonts w:eastAsiaTheme="majorEastAsia" w:cs="Arial"/>
          <w:b/>
          <w:bCs/>
          <w:color w:val="002060"/>
          <w:sz w:val="24"/>
          <w:szCs w:val="28"/>
        </w:rPr>
      </w:pPr>
      <w:bookmarkStart w:id="17" w:name="_Toc488160255"/>
      <w:r w:rsidRPr="00341487">
        <w:rPr>
          <w:rFonts w:eastAsiaTheme="majorEastAsia" w:cs="Arial"/>
          <w:b/>
          <w:bCs/>
          <w:color w:val="002060"/>
          <w:sz w:val="24"/>
          <w:szCs w:val="28"/>
        </w:rPr>
        <w:t xml:space="preserve">Compliance with </w:t>
      </w:r>
      <w:r w:rsidR="003963C9" w:rsidRPr="00341487">
        <w:rPr>
          <w:rFonts w:eastAsiaTheme="majorEastAsia" w:cs="Arial"/>
          <w:b/>
          <w:bCs/>
          <w:color w:val="002060"/>
          <w:sz w:val="24"/>
          <w:szCs w:val="28"/>
        </w:rPr>
        <w:t>p</w:t>
      </w:r>
      <w:r w:rsidRPr="00341487">
        <w:rPr>
          <w:rFonts w:eastAsiaTheme="majorEastAsia" w:cs="Arial"/>
          <w:b/>
          <w:bCs/>
          <w:color w:val="002060"/>
          <w:sz w:val="24"/>
          <w:szCs w:val="28"/>
        </w:rPr>
        <w:t xml:space="preserve">ermitted uses for </w:t>
      </w:r>
      <w:bookmarkEnd w:id="17"/>
      <w:r w:rsidR="003963C9" w:rsidRPr="00341487">
        <w:rPr>
          <w:rFonts w:eastAsiaTheme="majorEastAsia" w:cs="Arial"/>
          <w:b/>
          <w:bCs/>
          <w:color w:val="002060"/>
          <w:sz w:val="24"/>
          <w:szCs w:val="28"/>
        </w:rPr>
        <w:t>a</w:t>
      </w:r>
      <w:r w:rsidRPr="00341487">
        <w:rPr>
          <w:rFonts w:eastAsiaTheme="majorEastAsia" w:cs="Arial"/>
          <w:b/>
          <w:bCs/>
          <w:color w:val="002060"/>
          <w:sz w:val="24"/>
          <w:szCs w:val="28"/>
        </w:rPr>
        <w:t xml:space="preserve">ccommodation </w:t>
      </w:r>
      <w:r w:rsidR="003963C9" w:rsidRPr="00341487">
        <w:rPr>
          <w:rFonts w:eastAsiaTheme="majorEastAsia" w:cs="Arial"/>
          <w:b/>
          <w:bCs/>
          <w:color w:val="002060"/>
          <w:sz w:val="24"/>
          <w:szCs w:val="28"/>
        </w:rPr>
        <w:t>p</w:t>
      </w:r>
      <w:r w:rsidRPr="00341487">
        <w:rPr>
          <w:rFonts w:eastAsiaTheme="majorEastAsia" w:cs="Arial"/>
          <w:b/>
          <w:bCs/>
          <w:color w:val="002060"/>
          <w:sz w:val="24"/>
          <w:szCs w:val="28"/>
        </w:rPr>
        <w:t>ayments</w:t>
      </w:r>
    </w:p>
    <w:p w14:paraId="7E992458" w14:textId="0AC03A11" w:rsidR="00D3425E" w:rsidRPr="00DF1525" w:rsidRDefault="00D3425E" w:rsidP="008E4263">
      <w:pPr>
        <w:pStyle w:val="ListBullet"/>
        <w:spacing w:before="120" w:after="120"/>
        <w:ind w:left="357" w:hanging="357"/>
        <w:rPr>
          <w:lang w:val="en-US"/>
        </w:rPr>
      </w:pPr>
      <w:r w:rsidRPr="00DF1525">
        <w:rPr>
          <w:lang w:val="en-US"/>
        </w:rPr>
        <w:t xml:space="preserve">Tick relevant boxes indicating which of the permitted uses listed that </w:t>
      </w:r>
      <w:r w:rsidR="00B34B1A">
        <w:rPr>
          <w:lang w:val="en-US"/>
        </w:rPr>
        <w:t xml:space="preserve">were </w:t>
      </w:r>
      <w:r w:rsidRPr="00DF1525">
        <w:rPr>
          <w:lang w:val="en-US"/>
        </w:rPr>
        <w:t>expended refundable deposits, accommodation bonds or entry contributions on for this year.</w:t>
      </w:r>
    </w:p>
    <w:p w14:paraId="2709CF02" w14:textId="7DF5CF7A" w:rsidR="00D3425E" w:rsidRPr="003963C9" w:rsidRDefault="00D3425E" w:rsidP="008E4263">
      <w:pPr>
        <w:pStyle w:val="ListBullet"/>
        <w:spacing w:before="120" w:after="120"/>
        <w:ind w:left="357" w:hanging="357"/>
        <w:rPr>
          <w:b/>
          <w:u w:val="single"/>
          <w:lang w:val="en"/>
        </w:rPr>
      </w:pPr>
      <w:r w:rsidRPr="00DF1525">
        <w:rPr>
          <w:lang w:val="en-US"/>
        </w:rPr>
        <w:t xml:space="preserve">Provide value </w:t>
      </w:r>
      <w:r w:rsidR="003963C9">
        <w:rPr>
          <w:lang w:val="en-US"/>
        </w:rPr>
        <w:t xml:space="preserve">($) </w:t>
      </w:r>
      <w:r w:rsidRPr="00DF1525">
        <w:rPr>
          <w:lang w:val="en-US"/>
        </w:rPr>
        <w:t xml:space="preserve">of expenditure during the financial year on uses for which refundable deposits, bonds or entry contributions would be permitted from </w:t>
      </w:r>
      <w:r w:rsidR="003963C9">
        <w:rPr>
          <w:lang w:val="en-US"/>
        </w:rPr>
        <w:t>any</w:t>
      </w:r>
      <w:r w:rsidRPr="00DF1525">
        <w:rPr>
          <w:lang w:val="en-US"/>
        </w:rPr>
        <w:t xml:space="preserve"> funding source.</w:t>
      </w:r>
      <w:r w:rsidR="001868BC">
        <w:rPr>
          <w:lang w:val="en-US"/>
        </w:rPr>
        <w:t xml:space="preserve"> </w:t>
      </w:r>
      <w:r w:rsidRPr="003963C9">
        <w:t xml:space="preserve">This is designed to capture all expenditure on anything allowable as a permitted use and is the only place in the APCS where the questions </w:t>
      </w:r>
      <w:r w:rsidRPr="00A45835">
        <w:t xml:space="preserve">are not based purely on </w:t>
      </w:r>
      <w:r w:rsidRPr="00A45835">
        <w:rPr>
          <w:lang w:val="en"/>
        </w:rPr>
        <w:t>refundable deposits or bonds.</w:t>
      </w:r>
    </w:p>
    <w:p w14:paraId="36001946" w14:textId="6E687955" w:rsidR="00D3425E" w:rsidRDefault="00D3425E" w:rsidP="008E4263">
      <w:pPr>
        <w:pStyle w:val="ListBullet"/>
        <w:spacing w:before="120" w:after="120"/>
        <w:ind w:left="357" w:hanging="357"/>
        <w:rPr>
          <w:lang w:val="en-US"/>
        </w:rPr>
      </w:pPr>
      <w:r w:rsidRPr="003D44A2">
        <w:rPr>
          <w:lang w:val="en-US"/>
        </w:rPr>
        <w:t>Providers are required to report expenditure from all sources of funding. The information is about expenditure on uses for which refundable accommodation payments are permitted by the Act. Providers are not expected to reconcile their refundable accommodation payment income against their permitted use expenditure.</w:t>
      </w:r>
    </w:p>
    <w:p w14:paraId="79F03A1F" w14:textId="77777777" w:rsidR="003A01B6" w:rsidRDefault="003A01B6" w:rsidP="003A01B6">
      <w:pPr>
        <w:pStyle w:val="ListBullet"/>
        <w:numPr>
          <w:ilvl w:val="0"/>
          <w:numId w:val="0"/>
        </w:numPr>
        <w:ind w:left="340" w:hanging="340"/>
        <w:rPr>
          <w:lang w:val="en-US"/>
        </w:rPr>
      </w:pPr>
    </w:p>
    <w:p w14:paraId="135A5C3F" w14:textId="77777777" w:rsidR="003A01B6" w:rsidRDefault="003A01B6" w:rsidP="003A01B6">
      <w:pPr>
        <w:pStyle w:val="ListBullet"/>
        <w:numPr>
          <w:ilvl w:val="0"/>
          <w:numId w:val="0"/>
        </w:numPr>
        <w:ind w:left="340" w:hanging="340"/>
        <w:rPr>
          <w:lang w:val="en-US"/>
        </w:rPr>
      </w:pPr>
    </w:p>
    <w:p w14:paraId="33674FD4" w14:textId="77777777" w:rsidR="003A01B6" w:rsidRDefault="003A01B6" w:rsidP="003A01B6">
      <w:pPr>
        <w:pStyle w:val="ListBullet"/>
        <w:numPr>
          <w:ilvl w:val="0"/>
          <w:numId w:val="0"/>
        </w:numPr>
        <w:ind w:left="340" w:hanging="340"/>
        <w:rPr>
          <w:lang w:val="en-US"/>
        </w:rPr>
      </w:pPr>
    </w:p>
    <w:p w14:paraId="45F51ED7" w14:textId="77777777" w:rsidR="003A01B6" w:rsidRDefault="003A01B6" w:rsidP="003A01B6">
      <w:pPr>
        <w:pStyle w:val="ListBullet"/>
        <w:numPr>
          <w:ilvl w:val="0"/>
          <w:numId w:val="0"/>
        </w:numPr>
        <w:ind w:left="340" w:hanging="340"/>
        <w:rPr>
          <w:lang w:val="en-US"/>
        </w:rPr>
      </w:pPr>
    </w:p>
    <w:p w14:paraId="62E21075" w14:textId="77777777" w:rsidR="003A01B6" w:rsidRDefault="003A01B6" w:rsidP="003A01B6">
      <w:pPr>
        <w:pStyle w:val="ListBullet"/>
        <w:numPr>
          <w:ilvl w:val="0"/>
          <w:numId w:val="0"/>
        </w:numPr>
        <w:ind w:left="340" w:hanging="340"/>
        <w:rPr>
          <w:lang w:val="en-US"/>
        </w:rPr>
      </w:pPr>
    </w:p>
    <w:p w14:paraId="3C41952D" w14:textId="77777777" w:rsidR="003A01B6" w:rsidRDefault="003A01B6" w:rsidP="003A01B6">
      <w:pPr>
        <w:pStyle w:val="ListBullet"/>
        <w:numPr>
          <w:ilvl w:val="0"/>
          <w:numId w:val="0"/>
        </w:numPr>
        <w:ind w:left="340" w:hanging="340"/>
        <w:rPr>
          <w:lang w:val="en-US"/>
        </w:rPr>
      </w:pPr>
    </w:p>
    <w:p w14:paraId="3CD666F3" w14:textId="3F254392" w:rsidR="00D3425E" w:rsidRPr="00755BA7" w:rsidRDefault="003A01B6" w:rsidP="002F058F">
      <w:pPr>
        <w:pStyle w:val="Heading2"/>
      </w:pPr>
      <w:bookmarkStart w:id="18" w:name="_Toc488160256"/>
      <w:r w:rsidRPr="002F058F">
        <w:lastRenderedPageBreak/>
        <w:t xml:space="preserve">10. </w:t>
      </w:r>
      <w:r w:rsidR="00D3425E" w:rsidRPr="002F058F">
        <w:t xml:space="preserve">Survey of Aged </w:t>
      </w:r>
      <w:r w:rsidR="003963C9" w:rsidRPr="00755BA7">
        <w:t>C</w:t>
      </w:r>
      <w:r w:rsidR="00D3425E" w:rsidRPr="00755BA7">
        <w:t xml:space="preserve">are </w:t>
      </w:r>
      <w:r w:rsidR="003963C9" w:rsidRPr="00755BA7">
        <w:t>H</w:t>
      </w:r>
      <w:r w:rsidR="00D3425E" w:rsidRPr="00755BA7">
        <w:t xml:space="preserve">omes – </w:t>
      </w:r>
      <w:r w:rsidR="003963C9" w:rsidRPr="00755BA7">
        <w:t>r</w:t>
      </w:r>
      <w:r w:rsidR="00D3425E" w:rsidRPr="00755BA7">
        <w:t xml:space="preserve">esidential </w:t>
      </w:r>
      <w:r w:rsidR="003963C9" w:rsidRPr="00755BA7">
        <w:t>a</w:t>
      </w:r>
      <w:r w:rsidR="00D3425E" w:rsidRPr="00755BA7">
        <w:t xml:space="preserve">ged </w:t>
      </w:r>
      <w:r w:rsidR="003963C9" w:rsidRPr="00755BA7">
        <w:t>c</w:t>
      </w:r>
      <w:r w:rsidR="00D3425E" w:rsidRPr="00755BA7">
        <w:t>are</w:t>
      </w:r>
      <w:bookmarkEnd w:id="18"/>
    </w:p>
    <w:p w14:paraId="3DE81355" w14:textId="513518BF" w:rsidR="000B13B3" w:rsidRDefault="00D3425E" w:rsidP="008E4263">
      <w:pPr>
        <w:pStyle w:val="ListParagraph"/>
        <w:numPr>
          <w:ilvl w:val="0"/>
          <w:numId w:val="14"/>
        </w:numPr>
        <w:ind w:left="357" w:hanging="357"/>
        <w:rPr>
          <w:rFonts w:cs="Arial"/>
        </w:rPr>
      </w:pPr>
      <w:bookmarkStart w:id="19" w:name="_Toc488160257"/>
      <w:r w:rsidRPr="000B13B3">
        <w:rPr>
          <w:rFonts w:cs="Arial"/>
        </w:rPr>
        <w:t xml:space="preserve">The Survey of Aged Care Homes (SACH) Part A is completed on the ACFR portal via a downloadable excel spreadsheet containing three parts: the cover page, non-supported tab and </w:t>
      </w:r>
      <w:r w:rsidR="0094061E" w:rsidRPr="000B13B3">
        <w:rPr>
          <w:rFonts w:cs="Arial"/>
        </w:rPr>
        <w:t>partially supported</w:t>
      </w:r>
      <w:r w:rsidRPr="000B13B3">
        <w:rPr>
          <w:rFonts w:cs="Arial"/>
        </w:rPr>
        <w:t xml:space="preserve"> tab. The excel spreadsheet is available to download once </w:t>
      </w:r>
      <w:r w:rsidR="00B34B1A" w:rsidRPr="000B13B3">
        <w:rPr>
          <w:rFonts w:cs="Arial"/>
        </w:rPr>
        <w:t xml:space="preserve">a provider has </w:t>
      </w:r>
      <w:r w:rsidRPr="000B13B3">
        <w:rPr>
          <w:rFonts w:cs="Arial"/>
        </w:rPr>
        <w:t xml:space="preserve">logged into the portal and begun to complete the form online. </w:t>
      </w:r>
    </w:p>
    <w:p w14:paraId="2C916A98" w14:textId="77777777" w:rsidR="000B13B3" w:rsidRDefault="00D3425E" w:rsidP="008E4263">
      <w:pPr>
        <w:pStyle w:val="ListParagraph"/>
        <w:numPr>
          <w:ilvl w:val="0"/>
          <w:numId w:val="14"/>
        </w:numPr>
        <w:ind w:left="357" w:hanging="357"/>
        <w:rPr>
          <w:rFonts w:cs="Arial"/>
        </w:rPr>
      </w:pPr>
      <w:r w:rsidRPr="000B13B3">
        <w:rPr>
          <w:rFonts w:cs="Arial"/>
        </w:rPr>
        <w:t xml:space="preserve">Once </w:t>
      </w:r>
      <w:r w:rsidR="00B34B1A" w:rsidRPr="000B13B3">
        <w:rPr>
          <w:rFonts w:cs="Arial"/>
        </w:rPr>
        <w:t xml:space="preserve">they </w:t>
      </w:r>
      <w:r w:rsidRPr="000B13B3">
        <w:rPr>
          <w:rFonts w:cs="Arial"/>
        </w:rPr>
        <w:t>have finished entering the data into the spreadsheet, check for errors by scrolling to the right on each tab (each line should say “Complete” or “In Progress”)</w:t>
      </w:r>
      <w:r w:rsidR="000B13B3">
        <w:rPr>
          <w:rFonts w:cs="Arial"/>
        </w:rPr>
        <w:t xml:space="preserve">. </w:t>
      </w:r>
    </w:p>
    <w:p w14:paraId="08384DED" w14:textId="7C18A024" w:rsidR="00D3425E" w:rsidRPr="000B13B3" w:rsidRDefault="00D3425E" w:rsidP="008E4263">
      <w:pPr>
        <w:pStyle w:val="ListParagraph"/>
        <w:numPr>
          <w:ilvl w:val="0"/>
          <w:numId w:val="14"/>
        </w:numPr>
        <w:ind w:left="357" w:hanging="357"/>
        <w:rPr>
          <w:rFonts w:cs="Arial"/>
        </w:rPr>
      </w:pPr>
      <w:r w:rsidRPr="000B13B3">
        <w:rPr>
          <w:rFonts w:cs="Arial"/>
        </w:rPr>
        <w:t>When all data has been entered into the spreadsheet and there are no errors (check cover page for completeness), the complete file can be uploaded back into the portal on the same page that</w:t>
      </w:r>
      <w:r w:rsidR="00B34B1A" w:rsidRPr="000B13B3">
        <w:rPr>
          <w:rFonts w:cs="Arial"/>
        </w:rPr>
        <w:t xml:space="preserve"> they</w:t>
      </w:r>
      <w:r w:rsidRPr="000B13B3">
        <w:rPr>
          <w:rFonts w:cs="Arial"/>
        </w:rPr>
        <w:t xml:space="preserve"> downloaded it from. </w:t>
      </w:r>
    </w:p>
    <w:p w14:paraId="731221CF" w14:textId="122E338D" w:rsidR="00D3425E" w:rsidRPr="00341487" w:rsidRDefault="00D3425E" w:rsidP="00E4088C">
      <w:pPr>
        <w:spacing w:before="200" w:after="0"/>
        <w:rPr>
          <w:rFonts w:eastAsiaTheme="majorEastAsia" w:cs="Arial"/>
          <w:b/>
          <w:bCs/>
          <w:color w:val="002060"/>
          <w:sz w:val="24"/>
          <w:szCs w:val="28"/>
        </w:rPr>
      </w:pPr>
      <w:r w:rsidRPr="00341487">
        <w:rPr>
          <w:rFonts w:eastAsiaTheme="majorEastAsia" w:cs="Arial"/>
          <w:b/>
          <w:bCs/>
          <w:color w:val="002060"/>
          <w:sz w:val="24"/>
          <w:szCs w:val="28"/>
        </w:rPr>
        <w:t xml:space="preserve">Refundable Accommodation </w:t>
      </w:r>
      <w:r w:rsidR="0098092E" w:rsidRPr="00341487">
        <w:rPr>
          <w:rFonts w:eastAsiaTheme="majorEastAsia" w:cs="Arial"/>
          <w:b/>
          <w:bCs/>
          <w:color w:val="002060"/>
          <w:sz w:val="24"/>
          <w:szCs w:val="28"/>
        </w:rPr>
        <w:t>Deposits and</w:t>
      </w:r>
      <w:r w:rsidRPr="00341487">
        <w:rPr>
          <w:rFonts w:eastAsiaTheme="majorEastAsia" w:cs="Arial"/>
          <w:b/>
          <w:bCs/>
          <w:color w:val="002060"/>
          <w:sz w:val="24"/>
          <w:szCs w:val="28"/>
        </w:rPr>
        <w:t xml:space="preserve"> Daily Accommodation Payments of new permanent residents – </w:t>
      </w:r>
      <w:bookmarkEnd w:id="19"/>
      <w:r w:rsidR="00ED6E10" w:rsidRPr="00341487">
        <w:rPr>
          <w:rFonts w:eastAsiaTheme="majorEastAsia" w:cs="Arial"/>
          <w:b/>
          <w:bCs/>
          <w:color w:val="002060"/>
          <w:sz w:val="24"/>
          <w:szCs w:val="28"/>
        </w:rPr>
        <w:t>n</w:t>
      </w:r>
      <w:r w:rsidRPr="00341487">
        <w:rPr>
          <w:rFonts w:eastAsiaTheme="majorEastAsia" w:cs="Arial"/>
          <w:b/>
          <w:bCs/>
          <w:color w:val="002060"/>
          <w:sz w:val="24"/>
          <w:szCs w:val="28"/>
        </w:rPr>
        <w:t>on-</w:t>
      </w:r>
      <w:r w:rsidR="003963C9" w:rsidRPr="00341487">
        <w:rPr>
          <w:rFonts w:eastAsiaTheme="majorEastAsia" w:cs="Arial"/>
          <w:b/>
          <w:bCs/>
          <w:color w:val="002060"/>
          <w:sz w:val="24"/>
          <w:szCs w:val="28"/>
        </w:rPr>
        <w:t>s</w:t>
      </w:r>
      <w:r w:rsidRPr="00341487">
        <w:rPr>
          <w:rFonts w:eastAsiaTheme="majorEastAsia" w:cs="Arial"/>
          <w:b/>
          <w:bCs/>
          <w:color w:val="002060"/>
          <w:sz w:val="24"/>
          <w:szCs w:val="28"/>
        </w:rPr>
        <w:t>upported</w:t>
      </w:r>
    </w:p>
    <w:p w14:paraId="49C6B8B1" w14:textId="2B9D06AD" w:rsidR="000B13B3" w:rsidRDefault="00D3425E" w:rsidP="008E4263">
      <w:pPr>
        <w:pStyle w:val="ListParagraph"/>
        <w:numPr>
          <w:ilvl w:val="0"/>
          <w:numId w:val="15"/>
        </w:numPr>
        <w:ind w:left="357" w:hanging="357"/>
        <w:rPr>
          <w:rFonts w:cs="Arial"/>
        </w:rPr>
      </w:pPr>
      <w:r w:rsidRPr="000B13B3">
        <w:rPr>
          <w:rFonts w:cs="Arial"/>
        </w:rPr>
        <w:t xml:space="preserve">Relates to payments for accommodation received from all non-supported permanent residents who entered </w:t>
      </w:r>
      <w:r w:rsidR="000B51CF" w:rsidRPr="000B13B3">
        <w:rPr>
          <w:rFonts w:cs="Arial"/>
        </w:rPr>
        <w:t>the</w:t>
      </w:r>
      <w:r w:rsidRPr="000B13B3">
        <w:rPr>
          <w:rFonts w:cs="Arial"/>
        </w:rPr>
        <w:t xml:space="preserve"> service during the 202</w:t>
      </w:r>
      <w:r w:rsidR="003963C9" w:rsidRPr="000B13B3">
        <w:rPr>
          <w:rFonts w:cs="Arial"/>
        </w:rPr>
        <w:t>3</w:t>
      </w:r>
      <w:r w:rsidRPr="000B13B3">
        <w:rPr>
          <w:rFonts w:cs="Arial"/>
        </w:rPr>
        <w:t>-2</w:t>
      </w:r>
      <w:r w:rsidR="003963C9" w:rsidRPr="000B13B3">
        <w:rPr>
          <w:rFonts w:cs="Arial"/>
        </w:rPr>
        <w:t>4</w:t>
      </w:r>
      <w:r w:rsidRPr="000B13B3">
        <w:rPr>
          <w:rFonts w:cs="Arial"/>
        </w:rPr>
        <w:t xml:space="preserve"> </w:t>
      </w:r>
      <w:r w:rsidR="0098092E">
        <w:rPr>
          <w:rFonts w:cs="Arial"/>
        </w:rPr>
        <w:t xml:space="preserve">financial </w:t>
      </w:r>
      <w:r w:rsidRPr="000B13B3">
        <w:rPr>
          <w:rFonts w:cs="Arial"/>
        </w:rPr>
        <w:t xml:space="preserve">year, including residents transferring from another aged care service. </w:t>
      </w:r>
    </w:p>
    <w:p w14:paraId="5A018EF3" w14:textId="77777777" w:rsidR="005B6E28" w:rsidRDefault="00D3425E" w:rsidP="008E4263">
      <w:pPr>
        <w:pStyle w:val="ListParagraph"/>
        <w:numPr>
          <w:ilvl w:val="0"/>
          <w:numId w:val="15"/>
        </w:numPr>
        <w:ind w:left="357" w:hanging="357"/>
        <w:rPr>
          <w:rFonts w:cs="Arial"/>
        </w:rPr>
      </w:pPr>
      <w:r w:rsidRPr="000B13B3">
        <w:rPr>
          <w:rFonts w:cs="Arial"/>
        </w:rPr>
        <w:t xml:space="preserve">For residents that receive a </w:t>
      </w:r>
      <w:proofErr w:type="gramStart"/>
      <w:r w:rsidRPr="000B13B3">
        <w:rPr>
          <w:rFonts w:cs="Arial"/>
        </w:rPr>
        <w:t>Government</w:t>
      </w:r>
      <w:proofErr w:type="gramEnd"/>
      <w:r w:rsidRPr="000B13B3">
        <w:rPr>
          <w:rFonts w:cs="Arial"/>
        </w:rPr>
        <w:t xml:space="preserve"> accommodation supplement please complete the “Partially Supported” tab relating to accommodation payments for partially supported residents.</w:t>
      </w:r>
      <w:r w:rsidR="000B13B3">
        <w:rPr>
          <w:rFonts w:cs="Arial"/>
        </w:rPr>
        <w:t xml:space="preserve"> </w:t>
      </w:r>
      <w:r w:rsidRPr="000B13B3">
        <w:rPr>
          <w:rFonts w:cs="Arial"/>
        </w:rPr>
        <w:t>Information entered is for each new permanent resident admitted to this service between 1 July 202</w:t>
      </w:r>
      <w:r w:rsidR="003963C9" w:rsidRPr="000B13B3">
        <w:rPr>
          <w:rFonts w:cs="Arial"/>
        </w:rPr>
        <w:t>3</w:t>
      </w:r>
      <w:r w:rsidRPr="000B13B3">
        <w:rPr>
          <w:rFonts w:cs="Arial"/>
        </w:rPr>
        <w:t xml:space="preserve"> and 30 June 202</w:t>
      </w:r>
      <w:r w:rsidR="003963C9" w:rsidRPr="000B13B3">
        <w:rPr>
          <w:rFonts w:cs="Arial"/>
        </w:rPr>
        <w:t>4</w:t>
      </w:r>
      <w:r w:rsidRPr="000B13B3">
        <w:rPr>
          <w:rFonts w:cs="Arial"/>
        </w:rPr>
        <w:t xml:space="preserve"> that paid, or agreed to pay, a RAD, DAP, or a combination of the two (regardless of </w:t>
      </w:r>
      <w:proofErr w:type="gramStart"/>
      <w:r w:rsidRPr="000B13B3">
        <w:rPr>
          <w:rFonts w:cs="Arial"/>
        </w:rPr>
        <w:t>whether or not</w:t>
      </w:r>
      <w:proofErr w:type="gramEnd"/>
      <w:r w:rsidRPr="000B13B3">
        <w:rPr>
          <w:rFonts w:cs="Arial"/>
        </w:rPr>
        <w:t xml:space="preserve"> that amount has been paid)</w:t>
      </w:r>
      <w:r w:rsidR="005B6E28">
        <w:rPr>
          <w:rFonts w:cs="Arial"/>
        </w:rPr>
        <w:t xml:space="preserve">. </w:t>
      </w:r>
    </w:p>
    <w:p w14:paraId="6463B4BA" w14:textId="6020171A" w:rsidR="00D3425E" w:rsidRPr="000B13B3" w:rsidRDefault="00D3425E" w:rsidP="008E4263">
      <w:pPr>
        <w:pStyle w:val="ListParagraph"/>
        <w:numPr>
          <w:ilvl w:val="0"/>
          <w:numId w:val="15"/>
        </w:numPr>
        <w:ind w:left="357" w:hanging="357"/>
        <w:rPr>
          <w:rFonts w:cs="Arial"/>
        </w:rPr>
      </w:pPr>
      <w:r w:rsidRPr="000B13B3">
        <w:rPr>
          <w:rFonts w:cs="Arial"/>
        </w:rPr>
        <w:t xml:space="preserve">Please do not enter any DAP information where a resident has agreed to pay for their accommodation wholly by a RAD and is being charged a DAP pending payment of the RAD. DAP information should only be entered for residents who have agreed to pay by a RAD/DAP combination or wholly by a DAP.    </w:t>
      </w:r>
    </w:p>
    <w:p w14:paraId="60192F8A" w14:textId="0C1FFE98" w:rsidR="00D3425E" w:rsidRPr="00341487" w:rsidRDefault="00D3425E" w:rsidP="00E4088C">
      <w:pPr>
        <w:spacing w:before="200" w:after="0"/>
        <w:rPr>
          <w:rFonts w:eastAsiaTheme="majorEastAsia" w:cs="Arial"/>
          <w:b/>
          <w:bCs/>
          <w:color w:val="002060"/>
          <w:sz w:val="24"/>
          <w:szCs w:val="28"/>
        </w:rPr>
      </w:pPr>
      <w:bookmarkStart w:id="20" w:name="_Toc488160258"/>
      <w:r w:rsidRPr="00341487">
        <w:rPr>
          <w:rFonts w:eastAsiaTheme="majorEastAsia" w:cs="Arial"/>
          <w:b/>
          <w:bCs/>
          <w:color w:val="002060"/>
          <w:sz w:val="24"/>
          <w:szCs w:val="28"/>
        </w:rPr>
        <w:t>Refundable Accommodation Contributions and Daily Accommodation Contributions</w:t>
      </w:r>
      <w:r w:rsidR="00663E7B">
        <w:rPr>
          <w:rFonts w:eastAsiaTheme="majorEastAsia" w:cs="Arial"/>
          <w:b/>
          <w:bCs/>
          <w:color w:val="002060"/>
          <w:sz w:val="24"/>
          <w:szCs w:val="28"/>
        </w:rPr>
        <w:t xml:space="preserve"> </w:t>
      </w:r>
      <w:r w:rsidRPr="00341487">
        <w:rPr>
          <w:rFonts w:eastAsiaTheme="majorEastAsia" w:cs="Arial"/>
          <w:b/>
          <w:bCs/>
          <w:color w:val="002060"/>
          <w:sz w:val="24"/>
          <w:szCs w:val="28"/>
        </w:rPr>
        <w:t xml:space="preserve">of new permanent residents – </w:t>
      </w:r>
      <w:r w:rsidR="003963C9" w:rsidRPr="00341487">
        <w:rPr>
          <w:rFonts w:eastAsiaTheme="majorEastAsia" w:cs="Arial"/>
          <w:b/>
          <w:bCs/>
          <w:color w:val="002060"/>
          <w:sz w:val="24"/>
          <w:szCs w:val="28"/>
        </w:rPr>
        <w:t>p</w:t>
      </w:r>
      <w:r w:rsidRPr="00341487">
        <w:rPr>
          <w:rFonts w:eastAsiaTheme="majorEastAsia" w:cs="Arial"/>
          <w:b/>
          <w:bCs/>
          <w:color w:val="002060"/>
          <w:sz w:val="24"/>
          <w:szCs w:val="28"/>
        </w:rPr>
        <w:t xml:space="preserve">artially </w:t>
      </w:r>
      <w:r w:rsidR="003963C9" w:rsidRPr="00341487">
        <w:rPr>
          <w:rFonts w:eastAsiaTheme="majorEastAsia" w:cs="Arial"/>
          <w:b/>
          <w:bCs/>
          <w:color w:val="002060"/>
          <w:sz w:val="24"/>
          <w:szCs w:val="28"/>
        </w:rPr>
        <w:t>s</w:t>
      </w:r>
      <w:r w:rsidRPr="00341487">
        <w:rPr>
          <w:rFonts w:eastAsiaTheme="majorEastAsia" w:cs="Arial"/>
          <w:b/>
          <w:bCs/>
          <w:color w:val="002060"/>
          <w:sz w:val="24"/>
          <w:szCs w:val="28"/>
        </w:rPr>
        <w:t xml:space="preserve">upported </w:t>
      </w:r>
      <w:bookmarkEnd w:id="20"/>
    </w:p>
    <w:p w14:paraId="427EF7CA" w14:textId="1C9EEA02" w:rsidR="005B6E28" w:rsidRDefault="00D3425E" w:rsidP="008E4263">
      <w:pPr>
        <w:pStyle w:val="ListParagraph"/>
        <w:numPr>
          <w:ilvl w:val="0"/>
          <w:numId w:val="16"/>
        </w:numPr>
        <w:ind w:left="357" w:hanging="357"/>
        <w:rPr>
          <w:rFonts w:cs="Arial"/>
        </w:rPr>
      </w:pPr>
      <w:r w:rsidRPr="005B6E28">
        <w:rPr>
          <w:rFonts w:cs="Arial"/>
        </w:rPr>
        <w:t xml:space="preserve">Relates to contributions for accommodation received from all partially supported permanent residents who entered </w:t>
      </w:r>
      <w:r w:rsidR="000B51CF" w:rsidRPr="005B6E28">
        <w:rPr>
          <w:rFonts w:cs="Arial"/>
        </w:rPr>
        <w:t xml:space="preserve">the </w:t>
      </w:r>
      <w:r w:rsidRPr="005B6E28">
        <w:rPr>
          <w:rFonts w:cs="Arial"/>
        </w:rPr>
        <w:t>service during the 202</w:t>
      </w:r>
      <w:r w:rsidR="003963C9" w:rsidRPr="005B6E28">
        <w:rPr>
          <w:rFonts w:cs="Arial"/>
        </w:rPr>
        <w:t>3</w:t>
      </w:r>
      <w:r w:rsidRPr="005B6E28">
        <w:rPr>
          <w:rFonts w:cs="Arial"/>
        </w:rPr>
        <w:t>-2</w:t>
      </w:r>
      <w:r w:rsidR="003963C9" w:rsidRPr="005B6E28">
        <w:rPr>
          <w:rFonts w:cs="Arial"/>
        </w:rPr>
        <w:t>4</w:t>
      </w:r>
      <w:r w:rsidRPr="005B6E28">
        <w:rPr>
          <w:rFonts w:cs="Arial"/>
        </w:rPr>
        <w:t xml:space="preserve"> </w:t>
      </w:r>
      <w:r w:rsidR="00260874">
        <w:rPr>
          <w:rFonts w:cs="Arial"/>
        </w:rPr>
        <w:t xml:space="preserve">financial </w:t>
      </w:r>
      <w:r w:rsidRPr="005B6E28">
        <w:rPr>
          <w:rFonts w:cs="Arial"/>
        </w:rPr>
        <w:t xml:space="preserve">year, including by transferring from another aged care service. </w:t>
      </w:r>
    </w:p>
    <w:p w14:paraId="4AA3CDE9" w14:textId="21728C59" w:rsidR="005B6E28" w:rsidRPr="005B6E28" w:rsidRDefault="00D3425E" w:rsidP="008E4263">
      <w:pPr>
        <w:pStyle w:val="ListParagraph"/>
        <w:numPr>
          <w:ilvl w:val="0"/>
          <w:numId w:val="16"/>
        </w:numPr>
        <w:ind w:left="357" w:hanging="357"/>
        <w:rPr>
          <w:rFonts w:cs="Arial"/>
        </w:rPr>
      </w:pPr>
      <w:r w:rsidRPr="005B6E28">
        <w:rPr>
          <w:rFonts w:cs="Arial"/>
        </w:rPr>
        <w:t>There is no need to report on new fully supported residents. For non-supported residents please complete the “</w:t>
      </w:r>
      <w:r w:rsidR="003963C9" w:rsidRPr="005B6E28">
        <w:rPr>
          <w:rFonts w:cs="Arial"/>
        </w:rPr>
        <w:t>n</w:t>
      </w:r>
      <w:r w:rsidRPr="005B6E28">
        <w:rPr>
          <w:rFonts w:cs="Arial"/>
        </w:rPr>
        <w:t>on-</w:t>
      </w:r>
      <w:r w:rsidR="003963C9" w:rsidRPr="005B6E28">
        <w:rPr>
          <w:rFonts w:cs="Arial"/>
        </w:rPr>
        <w:t>s</w:t>
      </w:r>
      <w:r w:rsidRPr="005B6E28">
        <w:rPr>
          <w:rFonts w:cs="Arial"/>
        </w:rPr>
        <w:t>upported” tab relating to accommodation payments for non-supported residents.</w:t>
      </w:r>
    </w:p>
    <w:p w14:paraId="3DBF6724" w14:textId="6C220848" w:rsidR="005B6E28" w:rsidRDefault="00D3425E" w:rsidP="008E4263">
      <w:pPr>
        <w:pStyle w:val="ListParagraph"/>
        <w:numPr>
          <w:ilvl w:val="0"/>
          <w:numId w:val="16"/>
        </w:numPr>
        <w:ind w:left="357" w:hanging="357"/>
        <w:rPr>
          <w:rFonts w:cs="Arial"/>
        </w:rPr>
      </w:pPr>
      <w:r w:rsidRPr="005B6E28">
        <w:rPr>
          <w:rFonts w:cs="Arial"/>
        </w:rPr>
        <w:t>Information entered is for each new partially supported permanent resident admitted to the service between 1 July 202</w:t>
      </w:r>
      <w:r w:rsidR="003963C9" w:rsidRPr="005B6E28">
        <w:rPr>
          <w:rFonts w:cs="Arial"/>
        </w:rPr>
        <w:t>3</w:t>
      </w:r>
      <w:r w:rsidRPr="005B6E28">
        <w:rPr>
          <w:rFonts w:cs="Arial"/>
        </w:rPr>
        <w:t xml:space="preserve"> and 30 June 202</w:t>
      </w:r>
      <w:r w:rsidR="003963C9" w:rsidRPr="005B6E28">
        <w:rPr>
          <w:rFonts w:cs="Arial"/>
        </w:rPr>
        <w:t>4</w:t>
      </w:r>
      <w:r w:rsidRPr="005B6E28">
        <w:rPr>
          <w:rFonts w:cs="Arial"/>
        </w:rPr>
        <w:t xml:space="preserve"> that paid a </w:t>
      </w:r>
      <w:r w:rsidR="003963C9" w:rsidRPr="005B6E28">
        <w:rPr>
          <w:rFonts w:cs="Arial"/>
        </w:rPr>
        <w:t>RAC</w:t>
      </w:r>
      <w:r w:rsidRPr="005B6E28">
        <w:rPr>
          <w:rFonts w:cs="Arial"/>
        </w:rPr>
        <w:t xml:space="preserve"> or</w:t>
      </w:r>
      <w:r w:rsidRPr="005B6E28" w:rsidDel="00D36086">
        <w:rPr>
          <w:rFonts w:cs="Arial"/>
        </w:rPr>
        <w:t xml:space="preserve"> </w:t>
      </w:r>
      <w:r w:rsidRPr="005B6E28">
        <w:rPr>
          <w:rFonts w:cs="Arial"/>
        </w:rPr>
        <w:t>DA</w:t>
      </w:r>
      <w:r w:rsidR="00D36086" w:rsidRPr="005B6E28">
        <w:rPr>
          <w:rFonts w:cs="Arial"/>
        </w:rPr>
        <w:t>C</w:t>
      </w:r>
      <w:r w:rsidRPr="005B6E28">
        <w:rPr>
          <w:rFonts w:cs="Arial"/>
        </w:rPr>
        <w:t xml:space="preserve">, or a combination of the two (regardless of </w:t>
      </w:r>
      <w:r w:rsidR="008E4263" w:rsidRPr="005B6E28">
        <w:rPr>
          <w:rFonts w:cs="Arial"/>
        </w:rPr>
        <w:t>whether</w:t>
      </w:r>
      <w:r w:rsidRPr="005B6E28">
        <w:rPr>
          <w:rFonts w:cs="Arial"/>
        </w:rPr>
        <w:t xml:space="preserve"> that amount has been paid). </w:t>
      </w:r>
    </w:p>
    <w:p w14:paraId="1D53A7B9" w14:textId="458295F3" w:rsidR="00D3425E" w:rsidRPr="005B6E28" w:rsidRDefault="00D3425E" w:rsidP="008E4263">
      <w:pPr>
        <w:pStyle w:val="ListParagraph"/>
        <w:numPr>
          <w:ilvl w:val="0"/>
          <w:numId w:val="16"/>
        </w:numPr>
        <w:ind w:left="357" w:hanging="357"/>
        <w:rPr>
          <w:rFonts w:cs="Arial"/>
        </w:rPr>
      </w:pPr>
      <w:r w:rsidRPr="005B6E28">
        <w:rPr>
          <w:rFonts w:cs="Arial"/>
        </w:rPr>
        <w:t>Where resident had multiple DAC amounts advised by Services Australia (formerly the Department of Human Services (DHS)) during the year please enter the average DAC amount.</w:t>
      </w:r>
    </w:p>
    <w:p w14:paraId="3205EC3D" w14:textId="77777777" w:rsidR="003A01B6" w:rsidRDefault="003A01B6" w:rsidP="00DF1525">
      <w:pPr>
        <w:spacing w:after="0"/>
        <w:rPr>
          <w:rFonts w:cs="Arial"/>
        </w:rPr>
      </w:pPr>
    </w:p>
    <w:p w14:paraId="2F90B66B" w14:textId="77777777" w:rsidR="003A01B6" w:rsidRDefault="003A01B6" w:rsidP="00DF1525">
      <w:pPr>
        <w:spacing w:after="0"/>
        <w:rPr>
          <w:rFonts w:cs="Arial"/>
        </w:rPr>
      </w:pPr>
    </w:p>
    <w:p w14:paraId="41A7DE1B" w14:textId="77777777" w:rsidR="003A01B6" w:rsidRPr="00DF1525" w:rsidRDefault="003A01B6" w:rsidP="00DF1525">
      <w:pPr>
        <w:spacing w:after="0"/>
        <w:rPr>
          <w:rFonts w:cs="Arial"/>
        </w:rPr>
      </w:pPr>
    </w:p>
    <w:p w14:paraId="2D5627B8" w14:textId="24CC5DAB" w:rsidR="00D3425E" w:rsidRPr="00755BA7" w:rsidRDefault="003A01B6" w:rsidP="000418A0">
      <w:pPr>
        <w:pStyle w:val="Heading2"/>
      </w:pPr>
      <w:bookmarkStart w:id="21" w:name="_Toc488160260"/>
      <w:r w:rsidRPr="000418A0">
        <w:t xml:space="preserve">11. </w:t>
      </w:r>
      <w:r w:rsidR="00D3425E" w:rsidRPr="000418A0">
        <w:t xml:space="preserve">Building </w:t>
      </w:r>
      <w:r w:rsidR="00D36086" w:rsidRPr="00755BA7">
        <w:t>a</w:t>
      </w:r>
      <w:r w:rsidR="00D3425E" w:rsidRPr="00755BA7">
        <w:t xml:space="preserve">ctivity by </w:t>
      </w:r>
      <w:r w:rsidR="00D36086" w:rsidRPr="00755BA7">
        <w:t>r</w:t>
      </w:r>
      <w:r w:rsidR="00D3425E" w:rsidRPr="00755BA7">
        <w:t xml:space="preserve">esidential </w:t>
      </w:r>
      <w:r w:rsidR="00D36086" w:rsidRPr="00755BA7">
        <w:t>a</w:t>
      </w:r>
      <w:r w:rsidR="00D3425E" w:rsidRPr="00755BA7">
        <w:t xml:space="preserve">ged </w:t>
      </w:r>
      <w:r w:rsidR="00D36086" w:rsidRPr="00755BA7">
        <w:t>c</w:t>
      </w:r>
      <w:r w:rsidR="00D3425E" w:rsidRPr="00755BA7">
        <w:t xml:space="preserve">are </w:t>
      </w:r>
      <w:r w:rsidR="00D36086" w:rsidRPr="00755BA7">
        <w:t>s</w:t>
      </w:r>
      <w:r w:rsidR="00D3425E" w:rsidRPr="00755BA7">
        <w:t xml:space="preserve">ervice </w:t>
      </w:r>
      <w:bookmarkEnd w:id="21"/>
    </w:p>
    <w:p w14:paraId="5D3E8A92" w14:textId="673BA808" w:rsidR="00D3425E" w:rsidRPr="00341487" w:rsidRDefault="00D3425E" w:rsidP="008E4263">
      <w:pPr>
        <w:rPr>
          <w:rFonts w:eastAsiaTheme="majorEastAsia" w:cs="Arial"/>
          <w:b/>
          <w:bCs/>
          <w:color w:val="002060"/>
          <w:sz w:val="24"/>
          <w:szCs w:val="28"/>
        </w:rPr>
      </w:pPr>
      <w:bookmarkStart w:id="22" w:name="_Toc488160261"/>
      <w:r w:rsidRPr="00341487">
        <w:rPr>
          <w:rFonts w:eastAsiaTheme="majorEastAsia" w:cs="Arial"/>
          <w:b/>
          <w:bCs/>
          <w:color w:val="002060"/>
          <w:sz w:val="24"/>
          <w:szCs w:val="28"/>
        </w:rPr>
        <w:t xml:space="preserve">Part A: Completed </w:t>
      </w:r>
      <w:bookmarkEnd w:id="22"/>
      <w:r w:rsidR="00D36086" w:rsidRPr="00341487">
        <w:rPr>
          <w:rFonts w:eastAsiaTheme="majorEastAsia" w:cs="Arial"/>
          <w:b/>
          <w:bCs/>
          <w:color w:val="002060"/>
          <w:sz w:val="24"/>
          <w:szCs w:val="28"/>
        </w:rPr>
        <w:t>b</w:t>
      </w:r>
      <w:r w:rsidRPr="00341487">
        <w:rPr>
          <w:rFonts w:eastAsiaTheme="majorEastAsia" w:cs="Arial"/>
          <w:b/>
          <w:bCs/>
          <w:color w:val="002060"/>
          <w:sz w:val="24"/>
          <w:szCs w:val="28"/>
        </w:rPr>
        <w:t xml:space="preserve">uilding </w:t>
      </w:r>
      <w:r w:rsidR="00D36086" w:rsidRPr="00341487">
        <w:rPr>
          <w:rFonts w:eastAsiaTheme="majorEastAsia" w:cs="Arial"/>
          <w:b/>
          <w:bCs/>
          <w:color w:val="002060"/>
          <w:sz w:val="24"/>
          <w:szCs w:val="28"/>
        </w:rPr>
        <w:t>a</w:t>
      </w:r>
      <w:r w:rsidRPr="00341487">
        <w:rPr>
          <w:rFonts w:eastAsiaTheme="majorEastAsia" w:cs="Arial"/>
          <w:b/>
          <w:bCs/>
          <w:color w:val="002060"/>
          <w:sz w:val="24"/>
          <w:szCs w:val="28"/>
        </w:rPr>
        <w:t>ctivity</w:t>
      </w:r>
    </w:p>
    <w:p w14:paraId="4356DCE1" w14:textId="0539B689" w:rsidR="00D3425E" w:rsidRPr="0082546F" w:rsidRDefault="00D3425E" w:rsidP="008E4263">
      <w:pPr>
        <w:pStyle w:val="ListParagraph"/>
        <w:numPr>
          <w:ilvl w:val="0"/>
          <w:numId w:val="18"/>
        </w:numPr>
        <w:rPr>
          <w:rFonts w:cs="Arial"/>
        </w:rPr>
      </w:pPr>
      <w:r w:rsidRPr="0082546F">
        <w:rPr>
          <w:rFonts w:cs="Arial"/>
        </w:rPr>
        <w:t xml:space="preserve">Complete this part of the ACFR for any service for which any building or upgrading work </w:t>
      </w:r>
      <w:r w:rsidR="00AA37F7" w:rsidRPr="0082546F">
        <w:rPr>
          <w:rFonts w:cs="Arial"/>
        </w:rPr>
        <w:t xml:space="preserve">was completed </w:t>
      </w:r>
      <w:r w:rsidRPr="0082546F">
        <w:rPr>
          <w:rFonts w:cs="Arial"/>
        </w:rPr>
        <w:t>in the year ending 30 June 202</w:t>
      </w:r>
      <w:r w:rsidR="00D36086" w:rsidRPr="0082546F">
        <w:rPr>
          <w:rFonts w:cs="Arial"/>
        </w:rPr>
        <w:t>4</w:t>
      </w:r>
      <w:r w:rsidRPr="0082546F">
        <w:rPr>
          <w:rFonts w:cs="Arial"/>
        </w:rPr>
        <w:t>.</w:t>
      </w:r>
    </w:p>
    <w:p w14:paraId="76647568" w14:textId="3C2BEFFF" w:rsidR="00D3425E" w:rsidRPr="00341487" w:rsidRDefault="00D3425E" w:rsidP="008E4263">
      <w:pPr>
        <w:rPr>
          <w:rFonts w:eastAsiaTheme="majorEastAsia" w:cs="Arial"/>
          <w:b/>
          <w:bCs/>
          <w:color w:val="002060"/>
          <w:sz w:val="24"/>
          <w:szCs w:val="28"/>
        </w:rPr>
      </w:pPr>
      <w:bookmarkStart w:id="23" w:name="_Toc488160262"/>
      <w:r w:rsidRPr="00341487">
        <w:rPr>
          <w:rFonts w:eastAsiaTheme="majorEastAsia" w:cs="Arial"/>
          <w:b/>
          <w:bCs/>
          <w:color w:val="002060"/>
          <w:sz w:val="24"/>
          <w:szCs w:val="28"/>
        </w:rPr>
        <w:t xml:space="preserve">Part B: Building </w:t>
      </w:r>
      <w:r w:rsidR="00D36086" w:rsidRPr="00341487">
        <w:rPr>
          <w:rFonts w:eastAsiaTheme="majorEastAsia" w:cs="Arial"/>
          <w:b/>
          <w:bCs/>
          <w:color w:val="002060"/>
          <w:sz w:val="24"/>
          <w:szCs w:val="28"/>
        </w:rPr>
        <w:t>a</w:t>
      </w:r>
      <w:r w:rsidRPr="00341487">
        <w:rPr>
          <w:rFonts w:eastAsiaTheme="majorEastAsia" w:cs="Arial"/>
          <w:b/>
          <w:bCs/>
          <w:color w:val="002060"/>
          <w:sz w:val="24"/>
          <w:szCs w:val="28"/>
        </w:rPr>
        <w:t xml:space="preserve">ctivity in </w:t>
      </w:r>
      <w:bookmarkEnd w:id="23"/>
      <w:r w:rsidR="00D36086" w:rsidRPr="00341487">
        <w:rPr>
          <w:rFonts w:eastAsiaTheme="majorEastAsia" w:cs="Arial"/>
          <w:b/>
          <w:bCs/>
          <w:color w:val="002060"/>
          <w:sz w:val="24"/>
          <w:szCs w:val="28"/>
        </w:rPr>
        <w:t>p</w:t>
      </w:r>
      <w:r w:rsidRPr="00341487">
        <w:rPr>
          <w:rFonts w:eastAsiaTheme="majorEastAsia" w:cs="Arial"/>
          <w:b/>
          <w:bCs/>
          <w:color w:val="002060"/>
          <w:sz w:val="24"/>
          <w:szCs w:val="28"/>
        </w:rPr>
        <w:t>rogress</w:t>
      </w:r>
    </w:p>
    <w:p w14:paraId="06F9168A" w14:textId="612182D2" w:rsidR="00D3425E" w:rsidRPr="0082546F" w:rsidRDefault="00D3425E" w:rsidP="008E4263">
      <w:pPr>
        <w:pStyle w:val="ListParagraph"/>
        <w:numPr>
          <w:ilvl w:val="0"/>
          <w:numId w:val="18"/>
        </w:numPr>
        <w:rPr>
          <w:rFonts w:cs="Arial"/>
        </w:rPr>
      </w:pPr>
      <w:r w:rsidRPr="0082546F">
        <w:rPr>
          <w:rFonts w:cs="Arial"/>
        </w:rPr>
        <w:t xml:space="preserve">Complete this part of the ACFR for any service for which building or upgrading work was in progress </w:t>
      </w:r>
      <w:proofErr w:type="gramStart"/>
      <w:r w:rsidRPr="0082546F">
        <w:rPr>
          <w:rFonts w:cs="Arial"/>
        </w:rPr>
        <w:t>at</w:t>
      </w:r>
      <w:proofErr w:type="gramEnd"/>
      <w:r w:rsidRPr="0082546F">
        <w:rPr>
          <w:rFonts w:cs="Arial"/>
        </w:rPr>
        <w:t xml:space="preserve"> 30 June 202</w:t>
      </w:r>
      <w:r w:rsidR="00D36086" w:rsidRPr="0082546F">
        <w:rPr>
          <w:rFonts w:cs="Arial"/>
        </w:rPr>
        <w:t xml:space="preserve">4. </w:t>
      </w:r>
    </w:p>
    <w:p w14:paraId="1CE25412" w14:textId="10AE50FA" w:rsidR="00D3425E" w:rsidRPr="00341487" w:rsidRDefault="00D3425E" w:rsidP="008E4263">
      <w:pPr>
        <w:rPr>
          <w:rFonts w:eastAsiaTheme="majorEastAsia" w:cs="Arial"/>
          <w:b/>
          <w:bCs/>
          <w:color w:val="002060"/>
          <w:sz w:val="24"/>
          <w:szCs w:val="28"/>
        </w:rPr>
      </w:pPr>
      <w:bookmarkStart w:id="24" w:name="_Toc488160263"/>
      <w:r w:rsidRPr="00341487">
        <w:rPr>
          <w:rFonts w:eastAsiaTheme="majorEastAsia" w:cs="Arial"/>
          <w:b/>
          <w:bCs/>
          <w:color w:val="002060"/>
          <w:sz w:val="24"/>
          <w:szCs w:val="28"/>
        </w:rPr>
        <w:t xml:space="preserve">Part C: Planned </w:t>
      </w:r>
      <w:bookmarkEnd w:id="24"/>
      <w:r w:rsidR="00D36086" w:rsidRPr="00341487">
        <w:rPr>
          <w:rFonts w:eastAsiaTheme="majorEastAsia" w:cs="Arial"/>
          <w:b/>
          <w:bCs/>
          <w:color w:val="002060"/>
          <w:sz w:val="24"/>
          <w:szCs w:val="28"/>
        </w:rPr>
        <w:t>b</w:t>
      </w:r>
      <w:r w:rsidRPr="00341487">
        <w:rPr>
          <w:rFonts w:eastAsiaTheme="majorEastAsia" w:cs="Arial"/>
          <w:b/>
          <w:bCs/>
          <w:color w:val="002060"/>
          <w:sz w:val="24"/>
          <w:szCs w:val="28"/>
        </w:rPr>
        <w:t xml:space="preserve">uilding </w:t>
      </w:r>
      <w:r w:rsidR="00D36086" w:rsidRPr="00341487">
        <w:rPr>
          <w:rFonts w:eastAsiaTheme="majorEastAsia" w:cs="Arial"/>
          <w:b/>
          <w:bCs/>
          <w:color w:val="002060"/>
          <w:sz w:val="24"/>
          <w:szCs w:val="28"/>
        </w:rPr>
        <w:t>a</w:t>
      </w:r>
      <w:r w:rsidRPr="00341487">
        <w:rPr>
          <w:rFonts w:eastAsiaTheme="majorEastAsia" w:cs="Arial"/>
          <w:b/>
          <w:bCs/>
          <w:color w:val="002060"/>
          <w:sz w:val="24"/>
          <w:szCs w:val="28"/>
        </w:rPr>
        <w:t>ctivity</w:t>
      </w:r>
    </w:p>
    <w:p w14:paraId="3FA6FDBD" w14:textId="399A66A0" w:rsidR="003A01B6" w:rsidRPr="0082546F" w:rsidRDefault="00D3425E" w:rsidP="008E4263">
      <w:pPr>
        <w:pStyle w:val="ListParagraph"/>
        <w:numPr>
          <w:ilvl w:val="0"/>
          <w:numId w:val="18"/>
        </w:numPr>
        <w:rPr>
          <w:rFonts w:cs="Arial"/>
        </w:rPr>
      </w:pPr>
      <w:r w:rsidRPr="0082546F">
        <w:rPr>
          <w:rFonts w:cs="Arial"/>
        </w:rPr>
        <w:t xml:space="preserve">Complete this part of the ACFR for any service for which building or upgrading work was planned </w:t>
      </w:r>
      <w:proofErr w:type="gramStart"/>
      <w:r w:rsidRPr="0082546F">
        <w:rPr>
          <w:rFonts w:cs="Arial"/>
        </w:rPr>
        <w:t>at</w:t>
      </w:r>
      <w:proofErr w:type="gramEnd"/>
      <w:r w:rsidRPr="0082546F">
        <w:rPr>
          <w:rFonts w:cs="Arial"/>
        </w:rPr>
        <w:t xml:space="preserve"> 30 June 202</w:t>
      </w:r>
      <w:r w:rsidR="00D36086" w:rsidRPr="0082546F">
        <w:rPr>
          <w:rFonts w:cs="Arial"/>
        </w:rPr>
        <w:t xml:space="preserve">4. </w:t>
      </w:r>
      <w:r w:rsidRPr="0082546F">
        <w:rPr>
          <w:rFonts w:cs="Arial"/>
        </w:rPr>
        <w:t xml:space="preserve">Please refer to the data definitions before completing the Survey of Aged Care Homes sections of the ACFR. </w:t>
      </w:r>
    </w:p>
    <w:p w14:paraId="79EF0F4A" w14:textId="77777777" w:rsidR="003A01B6" w:rsidRDefault="003A01B6" w:rsidP="003A01B6">
      <w:pPr>
        <w:rPr>
          <w:rFonts w:cs="Arial"/>
        </w:rPr>
      </w:pPr>
    </w:p>
    <w:p w14:paraId="33EF2176" w14:textId="77777777" w:rsidR="003A01B6" w:rsidRDefault="003A01B6" w:rsidP="003A01B6">
      <w:pPr>
        <w:rPr>
          <w:rFonts w:cs="Arial"/>
        </w:rPr>
      </w:pPr>
    </w:p>
    <w:p w14:paraId="30527E6F" w14:textId="77777777" w:rsidR="003A01B6" w:rsidRDefault="003A01B6" w:rsidP="003A01B6">
      <w:pPr>
        <w:rPr>
          <w:rFonts w:cs="Arial"/>
        </w:rPr>
      </w:pPr>
    </w:p>
    <w:p w14:paraId="2E891C1B" w14:textId="77777777" w:rsidR="003A01B6" w:rsidRDefault="003A01B6" w:rsidP="003A01B6">
      <w:pPr>
        <w:rPr>
          <w:rFonts w:cs="Arial"/>
        </w:rPr>
      </w:pPr>
    </w:p>
    <w:p w14:paraId="1344E367" w14:textId="77777777" w:rsidR="003A01B6" w:rsidRDefault="003A01B6" w:rsidP="003A01B6">
      <w:pPr>
        <w:rPr>
          <w:rFonts w:cs="Arial"/>
        </w:rPr>
      </w:pPr>
    </w:p>
    <w:p w14:paraId="7EE3AC89" w14:textId="77777777" w:rsidR="003A01B6" w:rsidRDefault="003A01B6" w:rsidP="003A01B6">
      <w:pPr>
        <w:rPr>
          <w:rFonts w:cs="Arial"/>
        </w:rPr>
      </w:pPr>
    </w:p>
    <w:p w14:paraId="483A527E" w14:textId="77777777" w:rsidR="003A01B6" w:rsidRDefault="003A01B6" w:rsidP="003A01B6">
      <w:pPr>
        <w:rPr>
          <w:rFonts w:cs="Arial"/>
        </w:rPr>
      </w:pPr>
    </w:p>
    <w:p w14:paraId="1C5D39BF" w14:textId="77777777" w:rsidR="003A01B6" w:rsidRDefault="003A01B6" w:rsidP="003A01B6">
      <w:pPr>
        <w:rPr>
          <w:rFonts w:cs="Arial"/>
        </w:rPr>
      </w:pPr>
    </w:p>
    <w:p w14:paraId="38785234" w14:textId="77777777" w:rsidR="003A01B6" w:rsidRDefault="003A01B6" w:rsidP="003A01B6">
      <w:pPr>
        <w:rPr>
          <w:rFonts w:cs="Arial"/>
        </w:rPr>
      </w:pPr>
    </w:p>
    <w:p w14:paraId="5BEE8300" w14:textId="77777777" w:rsidR="003A01B6" w:rsidRDefault="003A01B6" w:rsidP="003A01B6">
      <w:pPr>
        <w:rPr>
          <w:rFonts w:cs="Arial"/>
        </w:rPr>
      </w:pPr>
    </w:p>
    <w:p w14:paraId="11B8C126" w14:textId="77777777" w:rsidR="003A01B6" w:rsidRDefault="003A01B6" w:rsidP="003A01B6">
      <w:pPr>
        <w:rPr>
          <w:rFonts w:cs="Arial"/>
        </w:rPr>
      </w:pPr>
    </w:p>
    <w:p w14:paraId="61A51D33" w14:textId="77777777" w:rsidR="003A01B6" w:rsidRDefault="003A01B6" w:rsidP="003A01B6">
      <w:pPr>
        <w:rPr>
          <w:rFonts w:cs="Arial"/>
        </w:rPr>
      </w:pPr>
    </w:p>
    <w:p w14:paraId="2F4258AA" w14:textId="77777777" w:rsidR="003A01B6" w:rsidRDefault="003A01B6" w:rsidP="003A01B6">
      <w:pPr>
        <w:rPr>
          <w:rFonts w:cs="Arial"/>
        </w:rPr>
      </w:pPr>
    </w:p>
    <w:p w14:paraId="656B6A05" w14:textId="77777777" w:rsidR="003A01B6" w:rsidRDefault="003A01B6" w:rsidP="003A01B6">
      <w:pPr>
        <w:rPr>
          <w:rFonts w:cs="Arial"/>
        </w:rPr>
      </w:pPr>
    </w:p>
    <w:p w14:paraId="12073367" w14:textId="77777777" w:rsidR="003A01B6" w:rsidRDefault="003A01B6" w:rsidP="003A01B6">
      <w:pPr>
        <w:rPr>
          <w:rFonts w:cs="Arial"/>
        </w:rPr>
      </w:pPr>
    </w:p>
    <w:p w14:paraId="269949AD" w14:textId="77777777" w:rsidR="003A01B6" w:rsidRDefault="003A01B6" w:rsidP="003A01B6">
      <w:pPr>
        <w:rPr>
          <w:rFonts w:cs="Arial"/>
        </w:rPr>
      </w:pPr>
    </w:p>
    <w:p w14:paraId="3AE4CFEE" w14:textId="77777777" w:rsidR="003A01B6" w:rsidRDefault="003A01B6" w:rsidP="003A01B6">
      <w:pPr>
        <w:rPr>
          <w:rFonts w:cs="Arial"/>
        </w:rPr>
      </w:pPr>
    </w:p>
    <w:p w14:paraId="4BCF6AE0" w14:textId="77777777" w:rsidR="003A01B6" w:rsidRDefault="003A01B6" w:rsidP="003A01B6">
      <w:pPr>
        <w:rPr>
          <w:rFonts w:cs="Arial"/>
        </w:rPr>
      </w:pPr>
    </w:p>
    <w:p w14:paraId="1D2C5A6E" w14:textId="77777777" w:rsidR="003A01B6" w:rsidRDefault="003A01B6" w:rsidP="003A01B6">
      <w:pPr>
        <w:rPr>
          <w:rFonts w:cs="Arial"/>
        </w:rPr>
      </w:pPr>
    </w:p>
    <w:p w14:paraId="709E71F7" w14:textId="77777777" w:rsidR="00341487" w:rsidRDefault="00341487" w:rsidP="003A01B6">
      <w:pPr>
        <w:rPr>
          <w:rFonts w:cs="Arial"/>
        </w:rPr>
      </w:pPr>
    </w:p>
    <w:p w14:paraId="6474EBE0" w14:textId="77777777" w:rsidR="003A01B6" w:rsidRPr="00DF1525" w:rsidRDefault="003A01B6" w:rsidP="00DF1525">
      <w:pPr>
        <w:rPr>
          <w:rFonts w:cs="Arial"/>
        </w:rPr>
      </w:pPr>
    </w:p>
    <w:p w14:paraId="62F6BA6B" w14:textId="31EB6A13" w:rsidR="00D3425E" w:rsidRPr="00E4088C" w:rsidRDefault="003A01B6" w:rsidP="00341487">
      <w:pPr>
        <w:pStyle w:val="Heading2"/>
        <w:rPr>
          <w:color w:val="002060"/>
        </w:rPr>
      </w:pPr>
      <w:r>
        <w:lastRenderedPageBreak/>
        <w:t>12</w:t>
      </w:r>
      <w:r w:rsidRPr="0082546F">
        <w:t xml:space="preserve">. </w:t>
      </w:r>
      <w:r w:rsidR="00D3425E" w:rsidRPr="0082546F">
        <w:t>A</w:t>
      </w:r>
      <w:r w:rsidR="00F71726">
        <w:t xml:space="preserve">ged </w:t>
      </w:r>
      <w:r w:rsidR="00D3425E" w:rsidRPr="0082546F">
        <w:t>C</w:t>
      </w:r>
      <w:r w:rsidR="00F71726">
        <w:t xml:space="preserve">are </w:t>
      </w:r>
      <w:r w:rsidR="00D3425E" w:rsidRPr="0082546F">
        <w:t>F</w:t>
      </w:r>
      <w:r w:rsidR="00F71726">
        <w:t xml:space="preserve">inancial </w:t>
      </w:r>
      <w:r w:rsidR="00D3425E" w:rsidRPr="0082546F">
        <w:t>R</w:t>
      </w:r>
      <w:r w:rsidR="00F71726">
        <w:t>eport</w:t>
      </w:r>
      <w:r w:rsidR="00D3425E" w:rsidRPr="0082546F">
        <w:t xml:space="preserve"> </w:t>
      </w:r>
      <w:r w:rsidR="00D36086" w:rsidRPr="0082546F">
        <w:t>d</w:t>
      </w:r>
      <w:r w:rsidR="00D3425E" w:rsidRPr="0082546F">
        <w:t>eclaration</w:t>
      </w:r>
    </w:p>
    <w:p w14:paraId="2E5A923C" w14:textId="1813DC88" w:rsidR="00D3425E" w:rsidRPr="0082546F" w:rsidRDefault="00D3425E" w:rsidP="008E4263">
      <w:pPr>
        <w:pStyle w:val="ListParagraph"/>
        <w:numPr>
          <w:ilvl w:val="0"/>
          <w:numId w:val="17"/>
        </w:numPr>
        <w:ind w:hanging="357"/>
        <w:rPr>
          <w:rFonts w:cs="Arial"/>
        </w:rPr>
      </w:pPr>
      <w:r w:rsidRPr="0082546F">
        <w:rPr>
          <w:rFonts w:cs="Arial"/>
        </w:rPr>
        <w:t xml:space="preserve">If the approved provider is not a State, a Territory, an authority of a State or Territory or a local government authority, the </w:t>
      </w:r>
      <w:r w:rsidR="00D36086" w:rsidRPr="0082546F">
        <w:rPr>
          <w:rFonts w:cs="Arial"/>
        </w:rPr>
        <w:t>ACFR</w:t>
      </w:r>
      <w:r w:rsidRPr="0082546F">
        <w:rPr>
          <w:rFonts w:cs="Arial"/>
        </w:rPr>
        <w:t xml:space="preserve"> must be signed by:</w:t>
      </w:r>
    </w:p>
    <w:p w14:paraId="63A8C8D5" w14:textId="77777777" w:rsidR="00D3425E" w:rsidRPr="00DF1525" w:rsidRDefault="00D3425E" w:rsidP="008E4263">
      <w:pPr>
        <w:pStyle w:val="ListParagraph"/>
        <w:numPr>
          <w:ilvl w:val="0"/>
          <w:numId w:val="8"/>
        </w:numPr>
        <w:ind w:left="779" w:hanging="357"/>
        <w:rPr>
          <w:rFonts w:cs="Arial"/>
        </w:rPr>
      </w:pPr>
      <w:r w:rsidRPr="00DF1525">
        <w:rPr>
          <w:rFonts w:cs="Arial"/>
        </w:rPr>
        <w:t>if the provider is a body corporate that is incorporated, or taken to be incorporated, under the Corporations Act 2001—a director of the body corporate for the purposes of that Act; and</w:t>
      </w:r>
    </w:p>
    <w:p w14:paraId="31F81DD4" w14:textId="7BD47E41" w:rsidR="0082546F" w:rsidRPr="0082546F" w:rsidRDefault="00D3425E" w:rsidP="008E4263">
      <w:pPr>
        <w:pStyle w:val="ListParagraph"/>
        <w:numPr>
          <w:ilvl w:val="0"/>
          <w:numId w:val="8"/>
        </w:numPr>
        <w:ind w:left="779" w:hanging="357"/>
        <w:rPr>
          <w:rFonts w:cs="Arial"/>
        </w:rPr>
      </w:pPr>
      <w:r w:rsidRPr="00DF1525">
        <w:rPr>
          <w:rFonts w:cs="Arial"/>
        </w:rPr>
        <w:t>otherwise—a member of the provider’s governing body.</w:t>
      </w:r>
    </w:p>
    <w:p w14:paraId="3695230C" w14:textId="0248B45B" w:rsidR="00D3425E" w:rsidRPr="0082546F" w:rsidRDefault="00D3425E" w:rsidP="008E4263">
      <w:pPr>
        <w:pStyle w:val="ListParagraph"/>
        <w:numPr>
          <w:ilvl w:val="0"/>
          <w:numId w:val="17"/>
        </w:numPr>
        <w:ind w:hanging="357"/>
        <w:rPr>
          <w:rFonts w:cs="Arial"/>
        </w:rPr>
      </w:pPr>
      <w:r w:rsidRPr="0082546F">
        <w:rPr>
          <w:rFonts w:cs="Arial"/>
        </w:rPr>
        <w:t xml:space="preserve">If the approved provider is a State, a Territory, an authority of a State or Territory or a local government authority, the </w:t>
      </w:r>
      <w:r w:rsidR="00D36086" w:rsidRPr="0082546F">
        <w:rPr>
          <w:rFonts w:cs="Arial"/>
        </w:rPr>
        <w:t>ACFR</w:t>
      </w:r>
      <w:r w:rsidRPr="0082546F">
        <w:rPr>
          <w:rFonts w:cs="Arial"/>
        </w:rPr>
        <w:t xml:space="preserve"> must be signed by one of the approved provider’s key personnel who is authorised by the provider to sign the report.</w:t>
      </w:r>
    </w:p>
    <w:p w14:paraId="126E48AC" w14:textId="77777777" w:rsidR="00205A93" w:rsidRPr="00DF1525" w:rsidRDefault="00205A93" w:rsidP="00DF1525">
      <w:pPr>
        <w:rPr>
          <w:rFonts w:cs="Arial"/>
        </w:rPr>
        <w:sectPr w:rsidR="00205A93" w:rsidRPr="00DF1525" w:rsidSect="00205A93">
          <w:headerReference w:type="even" r:id="rId24"/>
          <w:headerReference w:type="default" r:id="rId25"/>
          <w:footerReference w:type="even" r:id="rId26"/>
          <w:footerReference w:type="default" r:id="rId27"/>
          <w:headerReference w:type="first" r:id="rId28"/>
          <w:footerReference w:type="first" r:id="rId29"/>
          <w:pgSz w:w="11906" w:h="16838"/>
          <w:pgMar w:top="1701" w:right="1418" w:bottom="1418" w:left="1418" w:header="709" w:footer="709" w:gutter="0"/>
          <w:cols w:space="708"/>
          <w:docGrid w:linePitch="360"/>
        </w:sectPr>
      </w:pPr>
    </w:p>
    <w:p w14:paraId="2BE6A2A3" w14:textId="77777777" w:rsidR="00205A93" w:rsidRPr="00DF1525" w:rsidRDefault="00205A93" w:rsidP="00DF1525">
      <w:pPr>
        <w:pStyle w:val="URL"/>
        <w:rPr>
          <w:rFonts w:cs="Arial"/>
        </w:rPr>
      </w:pPr>
      <w:r w:rsidRPr="00DF1525">
        <w:rPr>
          <w:rFonts w:cs="Arial"/>
        </w:rPr>
        <w:lastRenderedPageBreak/>
        <w:t>Health.gov.au</w:t>
      </w:r>
    </w:p>
    <w:p w14:paraId="49FA0AE0" w14:textId="05E72074" w:rsidR="00205A93" w:rsidRPr="00DF1525" w:rsidRDefault="00205A93" w:rsidP="00DF1525">
      <w:pPr>
        <w:jc w:val="center"/>
        <w:rPr>
          <w:rFonts w:cs="Arial"/>
        </w:rPr>
      </w:pPr>
    </w:p>
    <w:sectPr w:rsidR="00205A93" w:rsidRPr="00DF1525" w:rsidSect="00205A93">
      <w:headerReference w:type="default" r:id="rId30"/>
      <w:footerReference w:type="default" r:id="rId3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73F9" w14:textId="77777777" w:rsidR="00141852" w:rsidRDefault="00141852" w:rsidP="00346C4A">
      <w:r>
        <w:separator/>
      </w:r>
    </w:p>
    <w:p w14:paraId="245CCF48" w14:textId="77777777" w:rsidR="00141852" w:rsidRDefault="00141852" w:rsidP="00346C4A"/>
  </w:endnote>
  <w:endnote w:type="continuationSeparator" w:id="0">
    <w:p w14:paraId="73C7532F" w14:textId="77777777" w:rsidR="00141852" w:rsidRDefault="00141852" w:rsidP="00346C4A">
      <w:r>
        <w:continuationSeparator/>
      </w:r>
    </w:p>
    <w:p w14:paraId="40CF1607" w14:textId="77777777" w:rsidR="00141852" w:rsidRDefault="00141852" w:rsidP="00346C4A"/>
  </w:endnote>
  <w:endnote w:type="continuationNotice" w:id="1">
    <w:p w14:paraId="30EE4095" w14:textId="77777777" w:rsidR="00141852" w:rsidRDefault="00141852"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B46C"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49A89CAA" w14:textId="77777777" w:rsidR="00236073" w:rsidRDefault="00236073" w:rsidP="000D56E4">
        <w:pPr>
          <w:pStyle w:val="Footer"/>
        </w:pPr>
        <w:r>
          <w:tab/>
        </w:r>
        <w:r>
          <w:fldChar w:fldCharType="begin"/>
        </w:r>
        <w:r>
          <w:instrText xml:space="preserve"> PAGE   \* MERGEFORMAT </w:instrText>
        </w:r>
        <w:r>
          <w:fldChar w:fldCharType="separate"/>
        </w:r>
        <w:r w:rsidR="0020779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9872FBF"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AB9"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81E0" w14:textId="77777777" w:rsidR="00141852" w:rsidRDefault="00141852" w:rsidP="00346C4A">
      <w:r>
        <w:separator/>
      </w:r>
    </w:p>
    <w:p w14:paraId="7D2C2FB6" w14:textId="77777777" w:rsidR="00141852" w:rsidRDefault="00141852" w:rsidP="00346C4A"/>
  </w:footnote>
  <w:footnote w:type="continuationSeparator" w:id="0">
    <w:p w14:paraId="670198E2" w14:textId="77777777" w:rsidR="00141852" w:rsidRDefault="00141852" w:rsidP="00346C4A">
      <w:r>
        <w:continuationSeparator/>
      </w:r>
    </w:p>
    <w:p w14:paraId="43530A3E" w14:textId="77777777" w:rsidR="00141852" w:rsidRDefault="00141852" w:rsidP="00346C4A"/>
  </w:footnote>
  <w:footnote w:type="continuationNotice" w:id="1">
    <w:p w14:paraId="59720DB8" w14:textId="77777777" w:rsidR="00141852" w:rsidRDefault="00141852"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3DB1" w14:textId="77777777"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0019C30E" wp14:editId="775C9B8B">
          <wp:simplePos x="0" y="0"/>
          <wp:positionH relativeFrom="page">
            <wp:align>center</wp:align>
          </wp:positionH>
          <wp:positionV relativeFrom="page">
            <wp:align>center</wp:align>
          </wp:positionV>
          <wp:extent cx="7560000" cy="10692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8789"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36C80AD3" wp14:editId="33541459">
          <wp:simplePos x="0" y="0"/>
          <wp:positionH relativeFrom="page">
            <wp:align>center</wp:align>
          </wp:positionH>
          <wp:positionV relativeFrom="page">
            <wp:align>center</wp:align>
          </wp:positionV>
          <wp:extent cx="7558768" cy="106920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727C"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3429"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6DA2"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F1E2" w14:textId="77777777"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3B9D700D" wp14:editId="21E074C5">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23E4D"/>
    <w:multiLevelType w:val="hybridMultilevel"/>
    <w:tmpl w:val="89342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576A23"/>
    <w:multiLevelType w:val="hybridMultilevel"/>
    <w:tmpl w:val="24E27D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C5DBF"/>
    <w:multiLevelType w:val="hybridMultilevel"/>
    <w:tmpl w:val="98C2D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E32CD7"/>
    <w:multiLevelType w:val="hybridMultilevel"/>
    <w:tmpl w:val="235026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FB78F5"/>
    <w:multiLevelType w:val="hybridMultilevel"/>
    <w:tmpl w:val="5D2E22DE"/>
    <w:lvl w:ilvl="0" w:tplc="3EFEF0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80229D"/>
    <w:multiLevelType w:val="hybridMultilevel"/>
    <w:tmpl w:val="3A764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3617D5"/>
    <w:multiLevelType w:val="hybridMultilevel"/>
    <w:tmpl w:val="E9528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CD50FD"/>
    <w:multiLevelType w:val="hybridMultilevel"/>
    <w:tmpl w:val="5F6A004C"/>
    <w:lvl w:ilvl="0" w:tplc="E1921B64">
      <w:start w:val="1"/>
      <w:numFmt w:val="bullet"/>
      <w:pStyle w:val="ListNumber2"/>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683F6A"/>
    <w:multiLevelType w:val="hybridMultilevel"/>
    <w:tmpl w:val="431CD69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A663CB"/>
    <w:multiLevelType w:val="hybridMultilevel"/>
    <w:tmpl w:val="55541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E63A28"/>
    <w:multiLevelType w:val="hybridMultilevel"/>
    <w:tmpl w:val="ABF2E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D0B28C5"/>
    <w:multiLevelType w:val="hybridMultilevel"/>
    <w:tmpl w:val="70480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C73E01"/>
    <w:multiLevelType w:val="hybridMultilevel"/>
    <w:tmpl w:val="F4B0A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56A4CFF"/>
    <w:multiLevelType w:val="multilevel"/>
    <w:tmpl w:val="1DEE7F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7" w15:restartNumberingAfterBreak="0">
    <w:nsid w:val="6A422C63"/>
    <w:multiLevelType w:val="hybridMultilevel"/>
    <w:tmpl w:val="76AC1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7EF83846"/>
    <w:multiLevelType w:val="hybridMultilevel"/>
    <w:tmpl w:val="4D38D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2F7A37"/>
    <w:multiLevelType w:val="hybridMultilevel"/>
    <w:tmpl w:val="C3CE3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1881730">
    <w:abstractNumId w:val="12"/>
  </w:num>
  <w:num w:numId="2" w16cid:durableId="441531779">
    <w:abstractNumId w:val="18"/>
  </w:num>
  <w:num w:numId="3" w16cid:durableId="1420328072">
    <w:abstractNumId w:val="0"/>
  </w:num>
  <w:num w:numId="4" w16cid:durableId="1663895096">
    <w:abstractNumId w:val="19"/>
  </w:num>
  <w:num w:numId="5" w16cid:durableId="485826424">
    <w:abstractNumId w:val="3"/>
  </w:num>
  <w:num w:numId="6" w16cid:durableId="1104692650">
    <w:abstractNumId w:val="9"/>
  </w:num>
  <w:num w:numId="7" w16cid:durableId="26180185">
    <w:abstractNumId w:val="5"/>
  </w:num>
  <w:num w:numId="8" w16cid:durableId="1669823057">
    <w:abstractNumId w:val="6"/>
  </w:num>
  <w:num w:numId="9" w16cid:durableId="680277590">
    <w:abstractNumId w:val="16"/>
  </w:num>
  <w:num w:numId="10" w16cid:durableId="365062298">
    <w:abstractNumId w:val="10"/>
  </w:num>
  <w:num w:numId="11" w16cid:durableId="385029673">
    <w:abstractNumId w:val="15"/>
  </w:num>
  <w:num w:numId="12" w16cid:durableId="1847746360">
    <w:abstractNumId w:val="8"/>
  </w:num>
  <w:num w:numId="13" w16cid:durableId="858541895">
    <w:abstractNumId w:val="7"/>
  </w:num>
  <w:num w:numId="14" w16cid:durableId="1878466955">
    <w:abstractNumId w:val="21"/>
  </w:num>
  <w:num w:numId="15" w16cid:durableId="1407221717">
    <w:abstractNumId w:val="14"/>
  </w:num>
  <w:num w:numId="16" w16cid:durableId="1318070926">
    <w:abstractNumId w:val="11"/>
  </w:num>
  <w:num w:numId="17" w16cid:durableId="1069033611">
    <w:abstractNumId w:val="4"/>
  </w:num>
  <w:num w:numId="18" w16cid:durableId="1542553080">
    <w:abstractNumId w:val="17"/>
  </w:num>
  <w:num w:numId="19" w16cid:durableId="334962689">
    <w:abstractNumId w:val="20"/>
  </w:num>
  <w:num w:numId="20" w16cid:durableId="1609190504">
    <w:abstractNumId w:val="1"/>
  </w:num>
  <w:num w:numId="21" w16cid:durableId="1710036092">
    <w:abstractNumId w:val="2"/>
  </w:num>
  <w:num w:numId="22" w16cid:durableId="112277321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1"/>
    <w:rsid w:val="00003743"/>
    <w:rsid w:val="000047B4"/>
    <w:rsid w:val="00005712"/>
    <w:rsid w:val="00007FD8"/>
    <w:rsid w:val="000117F8"/>
    <w:rsid w:val="00022AB0"/>
    <w:rsid w:val="00026139"/>
    <w:rsid w:val="00027071"/>
    <w:rsid w:val="00027601"/>
    <w:rsid w:val="00033321"/>
    <w:rsid w:val="000338E5"/>
    <w:rsid w:val="00033ECC"/>
    <w:rsid w:val="0003422F"/>
    <w:rsid w:val="000418A0"/>
    <w:rsid w:val="00046FF0"/>
    <w:rsid w:val="000500BB"/>
    <w:rsid w:val="00050176"/>
    <w:rsid w:val="00062B65"/>
    <w:rsid w:val="00067456"/>
    <w:rsid w:val="00071506"/>
    <w:rsid w:val="0007154F"/>
    <w:rsid w:val="0007364D"/>
    <w:rsid w:val="0007538C"/>
    <w:rsid w:val="00077590"/>
    <w:rsid w:val="00081AB1"/>
    <w:rsid w:val="00090316"/>
    <w:rsid w:val="00092CDB"/>
    <w:rsid w:val="00093981"/>
    <w:rsid w:val="00093CD9"/>
    <w:rsid w:val="000B067A"/>
    <w:rsid w:val="000B13B3"/>
    <w:rsid w:val="000B1540"/>
    <w:rsid w:val="000B33FD"/>
    <w:rsid w:val="000B4ABA"/>
    <w:rsid w:val="000B51CF"/>
    <w:rsid w:val="000C4B16"/>
    <w:rsid w:val="000C50C3"/>
    <w:rsid w:val="000C71C1"/>
    <w:rsid w:val="000D21F6"/>
    <w:rsid w:val="000D42C3"/>
    <w:rsid w:val="000D4500"/>
    <w:rsid w:val="000D56E4"/>
    <w:rsid w:val="000D7AEA"/>
    <w:rsid w:val="000E01A9"/>
    <w:rsid w:val="000E13D8"/>
    <w:rsid w:val="000E2C66"/>
    <w:rsid w:val="000E6E7D"/>
    <w:rsid w:val="000F123C"/>
    <w:rsid w:val="000F2FED"/>
    <w:rsid w:val="00100F6D"/>
    <w:rsid w:val="0010616D"/>
    <w:rsid w:val="00107514"/>
    <w:rsid w:val="00110478"/>
    <w:rsid w:val="001112B4"/>
    <w:rsid w:val="00113EBC"/>
    <w:rsid w:val="00115874"/>
    <w:rsid w:val="0011711B"/>
    <w:rsid w:val="00117F8A"/>
    <w:rsid w:val="00121B9B"/>
    <w:rsid w:val="00122ADC"/>
    <w:rsid w:val="00127FA6"/>
    <w:rsid w:val="00130F59"/>
    <w:rsid w:val="00131DD2"/>
    <w:rsid w:val="0013229E"/>
    <w:rsid w:val="00132E4B"/>
    <w:rsid w:val="00133EC0"/>
    <w:rsid w:val="00141852"/>
    <w:rsid w:val="00141CE5"/>
    <w:rsid w:val="00144908"/>
    <w:rsid w:val="001571C7"/>
    <w:rsid w:val="00161094"/>
    <w:rsid w:val="00172A55"/>
    <w:rsid w:val="001758CD"/>
    <w:rsid w:val="0017665C"/>
    <w:rsid w:val="00176C95"/>
    <w:rsid w:val="00177AD2"/>
    <w:rsid w:val="001815A8"/>
    <w:rsid w:val="00181601"/>
    <w:rsid w:val="001840FA"/>
    <w:rsid w:val="001868BC"/>
    <w:rsid w:val="00190079"/>
    <w:rsid w:val="001933C7"/>
    <w:rsid w:val="0019622E"/>
    <w:rsid w:val="001966A7"/>
    <w:rsid w:val="00196907"/>
    <w:rsid w:val="001A4627"/>
    <w:rsid w:val="001A4979"/>
    <w:rsid w:val="001B15D3"/>
    <w:rsid w:val="001B3443"/>
    <w:rsid w:val="001B6B00"/>
    <w:rsid w:val="001C0326"/>
    <w:rsid w:val="001C192F"/>
    <w:rsid w:val="001C3C42"/>
    <w:rsid w:val="001C76F5"/>
    <w:rsid w:val="001D44D0"/>
    <w:rsid w:val="001D7869"/>
    <w:rsid w:val="001F2F78"/>
    <w:rsid w:val="001F7B57"/>
    <w:rsid w:val="002026CD"/>
    <w:rsid w:val="00202E8A"/>
    <w:rsid w:val="002033FC"/>
    <w:rsid w:val="002044BB"/>
    <w:rsid w:val="00204760"/>
    <w:rsid w:val="00205A93"/>
    <w:rsid w:val="002072A3"/>
    <w:rsid w:val="00207793"/>
    <w:rsid w:val="00210B09"/>
    <w:rsid w:val="00210C9E"/>
    <w:rsid w:val="00211840"/>
    <w:rsid w:val="00211B43"/>
    <w:rsid w:val="00217516"/>
    <w:rsid w:val="00220E5F"/>
    <w:rsid w:val="002212B5"/>
    <w:rsid w:val="00225EEC"/>
    <w:rsid w:val="00226668"/>
    <w:rsid w:val="00233809"/>
    <w:rsid w:val="00236073"/>
    <w:rsid w:val="00240046"/>
    <w:rsid w:val="002402BD"/>
    <w:rsid w:val="00242CE7"/>
    <w:rsid w:val="0024792F"/>
    <w:rsid w:val="0024797F"/>
    <w:rsid w:val="0025119E"/>
    <w:rsid w:val="00251269"/>
    <w:rsid w:val="002535C0"/>
    <w:rsid w:val="002563CE"/>
    <w:rsid w:val="002579FE"/>
    <w:rsid w:val="00260874"/>
    <w:rsid w:val="0026311C"/>
    <w:rsid w:val="0026668C"/>
    <w:rsid w:val="00266AC1"/>
    <w:rsid w:val="0027178C"/>
    <w:rsid w:val="002719FA"/>
    <w:rsid w:val="00272249"/>
    <w:rsid w:val="00272668"/>
    <w:rsid w:val="0027330B"/>
    <w:rsid w:val="002803AD"/>
    <w:rsid w:val="00282052"/>
    <w:rsid w:val="0028519E"/>
    <w:rsid w:val="002856A5"/>
    <w:rsid w:val="002872ED"/>
    <w:rsid w:val="002905C2"/>
    <w:rsid w:val="00291D9D"/>
    <w:rsid w:val="00293EF2"/>
    <w:rsid w:val="00295AF2"/>
    <w:rsid w:val="00295C91"/>
    <w:rsid w:val="00297151"/>
    <w:rsid w:val="002A3001"/>
    <w:rsid w:val="002A446C"/>
    <w:rsid w:val="002B0865"/>
    <w:rsid w:val="002B20E6"/>
    <w:rsid w:val="002B42A3"/>
    <w:rsid w:val="002C0BEA"/>
    <w:rsid w:val="002C0CDD"/>
    <w:rsid w:val="002C5220"/>
    <w:rsid w:val="002D66A5"/>
    <w:rsid w:val="002E1A1D"/>
    <w:rsid w:val="002E4081"/>
    <w:rsid w:val="002E5B78"/>
    <w:rsid w:val="002F058F"/>
    <w:rsid w:val="002F3AE3"/>
    <w:rsid w:val="002F4270"/>
    <w:rsid w:val="002F60BE"/>
    <w:rsid w:val="0030464B"/>
    <w:rsid w:val="0030786C"/>
    <w:rsid w:val="00313E90"/>
    <w:rsid w:val="003144BB"/>
    <w:rsid w:val="003233DE"/>
    <w:rsid w:val="0032466B"/>
    <w:rsid w:val="0032667B"/>
    <w:rsid w:val="00327260"/>
    <w:rsid w:val="00327B44"/>
    <w:rsid w:val="00331CA3"/>
    <w:rsid w:val="003330EB"/>
    <w:rsid w:val="00334955"/>
    <w:rsid w:val="00334E74"/>
    <w:rsid w:val="00336605"/>
    <w:rsid w:val="00341487"/>
    <w:rsid w:val="003415FD"/>
    <w:rsid w:val="003429F0"/>
    <w:rsid w:val="00346C4A"/>
    <w:rsid w:val="0035097A"/>
    <w:rsid w:val="00351382"/>
    <w:rsid w:val="003540A4"/>
    <w:rsid w:val="00360E4E"/>
    <w:rsid w:val="00360E74"/>
    <w:rsid w:val="00363D39"/>
    <w:rsid w:val="00364D1E"/>
    <w:rsid w:val="00370AAA"/>
    <w:rsid w:val="0037441E"/>
    <w:rsid w:val="00375F77"/>
    <w:rsid w:val="0037695F"/>
    <w:rsid w:val="00377967"/>
    <w:rsid w:val="00377A78"/>
    <w:rsid w:val="00381BBE"/>
    <w:rsid w:val="00382903"/>
    <w:rsid w:val="003846FF"/>
    <w:rsid w:val="00385AD4"/>
    <w:rsid w:val="00387924"/>
    <w:rsid w:val="00387C72"/>
    <w:rsid w:val="0039384D"/>
    <w:rsid w:val="00395C23"/>
    <w:rsid w:val="003963C9"/>
    <w:rsid w:val="003A01B6"/>
    <w:rsid w:val="003A2E4F"/>
    <w:rsid w:val="003A4438"/>
    <w:rsid w:val="003A5013"/>
    <w:rsid w:val="003A5078"/>
    <w:rsid w:val="003A62DD"/>
    <w:rsid w:val="003A775A"/>
    <w:rsid w:val="003A7CFC"/>
    <w:rsid w:val="003B0DAB"/>
    <w:rsid w:val="003B213A"/>
    <w:rsid w:val="003B43AD"/>
    <w:rsid w:val="003C0FEC"/>
    <w:rsid w:val="003C15B8"/>
    <w:rsid w:val="003C2AC8"/>
    <w:rsid w:val="003D17F9"/>
    <w:rsid w:val="003D2D88"/>
    <w:rsid w:val="003D41EA"/>
    <w:rsid w:val="003D44A2"/>
    <w:rsid w:val="003D4850"/>
    <w:rsid w:val="003D535A"/>
    <w:rsid w:val="003E061B"/>
    <w:rsid w:val="003E10B8"/>
    <w:rsid w:val="003E1C9F"/>
    <w:rsid w:val="003E5240"/>
    <w:rsid w:val="003E5265"/>
    <w:rsid w:val="003E5B2A"/>
    <w:rsid w:val="003F0955"/>
    <w:rsid w:val="003F36A2"/>
    <w:rsid w:val="003F50A8"/>
    <w:rsid w:val="003F6FE1"/>
    <w:rsid w:val="00400F00"/>
    <w:rsid w:val="00401503"/>
    <w:rsid w:val="00401A19"/>
    <w:rsid w:val="00404F8B"/>
    <w:rsid w:val="00405256"/>
    <w:rsid w:val="00406D48"/>
    <w:rsid w:val="00410031"/>
    <w:rsid w:val="004115A2"/>
    <w:rsid w:val="00415C81"/>
    <w:rsid w:val="00416731"/>
    <w:rsid w:val="00422ED2"/>
    <w:rsid w:val="00423C4A"/>
    <w:rsid w:val="00430A53"/>
    <w:rsid w:val="00432378"/>
    <w:rsid w:val="00440D65"/>
    <w:rsid w:val="004435E6"/>
    <w:rsid w:val="0044425E"/>
    <w:rsid w:val="00447E31"/>
    <w:rsid w:val="00453923"/>
    <w:rsid w:val="00454B9B"/>
    <w:rsid w:val="00455145"/>
    <w:rsid w:val="00457858"/>
    <w:rsid w:val="00460B0B"/>
    <w:rsid w:val="00461023"/>
    <w:rsid w:val="00462FAC"/>
    <w:rsid w:val="004641A0"/>
    <w:rsid w:val="00464631"/>
    <w:rsid w:val="00464732"/>
    <w:rsid w:val="00464B79"/>
    <w:rsid w:val="004662F3"/>
    <w:rsid w:val="00467BBF"/>
    <w:rsid w:val="0047313F"/>
    <w:rsid w:val="00475827"/>
    <w:rsid w:val="004867E2"/>
    <w:rsid w:val="00487261"/>
    <w:rsid w:val="00492735"/>
    <w:rsid w:val="004929A9"/>
    <w:rsid w:val="004940D4"/>
    <w:rsid w:val="00494400"/>
    <w:rsid w:val="004A029F"/>
    <w:rsid w:val="004A1DE1"/>
    <w:rsid w:val="004A209C"/>
    <w:rsid w:val="004A56A1"/>
    <w:rsid w:val="004B2F1B"/>
    <w:rsid w:val="004C2FEC"/>
    <w:rsid w:val="004C6BCF"/>
    <w:rsid w:val="004D1115"/>
    <w:rsid w:val="004D1339"/>
    <w:rsid w:val="004D1B1A"/>
    <w:rsid w:val="004D58BF"/>
    <w:rsid w:val="004E4335"/>
    <w:rsid w:val="004E5ACF"/>
    <w:rsid w:val="004F13EE"/>
    <w:rsid w:val="004F2022"/>
    <w:rsid w:val="004F5360"/>
    <w:rsid w:val="004F7C05"/>
    <w:rsid w:val="00501C94"/>
    <w:rsid w:val="00506432"/>
    <w:rsid w:val="00507321"/>
    <w:rsid w:val="0051242B"/>
    <w:rsid w:val="00513B94"/>
    <w:rsid w:val="0052051D"/>
    <w:rsid w:val="00531D6E"/>
    <w:rsid w:val="005423ED"/>
    <w:rsid w:val="00545EE6"/>
    <w:rsid w:val="005550E7"/>
    <w:rsid w:val="005564FB"/>
    <w:rsid w:val="00556DE0"/>
    <w:rsid w:val="005572C7"/>
    <w:rsid w:val="00557D5A"/>
    <w:rsid w:val="0056486D"/>
    <w:rsid w:val="005650ED"/>
    <w:rsid w:val="00575754"/>
    <w:rsid w:val="00585C41"/>
    <w:rsid w:val="00591E20"/>
    <w:rsid w:val="00594797"/>
    <w:rsid w:val="00595408"/>
    <w:rsid w:val="00595E84"/>
    <w:rsid w:val="005A0C59"/>
    <w:rsid w:val="005A14E5"/>
    <w:rsid w:val="005A48EB"/>
    <w:rsid w:val="005A6CFB"/>
    <w:rsid w:val="005B6E28"/>
    <w:rsid w:val="005C427B"/>
    <w:rsid w:val="005C5AEB"/>
    <w:rsid w:val="005C6088"/>
    <w:rsid w:val="005C68D1"/>
    <w:rsid w:val="005D5A1A"/>
    <w:rsid w:val="005E0A3F"/>
    <w:rsid w:val="005E6883"/>
    <w:rsid w:val="005E772F"/>
    <w:rsid w:val="005F4ECA"/>
    <w:rsid w:val="006041BE"/>
    <w:rsid w:val="006043C7"/>
    <w:rsid w:val="00616C8B"/>
    <w:rsid w:val="00617AB5"/>
    <w:rsid w:val="00624B52"/>
    <w:rsid w:val="00631DF4"/>
    <w:rsid w:val="00634175"/>
    <w:rsid w:val="006408AC"/>
    <w:rsid w:val="00643F0C"/>
    <w:rsid w:val="006511B6"/>
    <w:rsid w:val="00652742"/>
    <w:rsid w:val="0065316A"/>
    <w:rsid w:val="00653FF5"/>
    <w:rsid w:val="006542C2"/>
    <w:rsid w:val="00656806"/>
    <w:rsid w:val="00657FF8"/>
    <w:rsid w:val="00663E7B"/>
    <w:rsid w:val="00663EE1"/>
    <w:rsid w:val="00670D99"/>
    <w:rsid w:val="00670E2B"/>
    <w:rsid w:val="006734BB"/>
    <w:rsid w:val="00673861"/>
    <w:rsid w:val="00680419"/>
    <w:rsid w:val="00681A34"/>
    <w:rsid w:val="006821EB"/>
    <w:rsid w:val="006A0BC2"/>
    <w:rsid w:val="006B2286"/>
    <w:rsid w:val="006B3170"/>
    <w:rsid w:val="006B435B"/>
    <w:rsid w:val="006B56BB"/>
    <w:rsid w:val="006B750A"/>
    <w:rsid w:val="006C027C"/>
    <w:rsid w:val="006C1EBF"/>
    <w:rsid w:val="006C77A8"/>
    <w:rsid w:val="006D4098"/>
    <w:rsid w:val="006D537D"/>
    <w:rsid w:val="006D7681"/>
    <w:rsid w:val="006D7B2E"/>
    <w:rsid w:val="006E02EA"/>
    <w:rsid w:val="006E0968"/>
    <w:rsid w:val="006E2AF6"/>
    <w:rsid w:val="00700B08"/>
    <w:rsid w:val="00701275"/>
    <w:rsid w:val="0070554C"/>
    <w:rsid w:val="00707F56"/>
    <w:rsid w:val="00713558"/>
    <w:rsid w:val="0071615D"/>
    <w:rsid w:val="0071660D"/>
    <w:rsid w:val="00720D08"/>
    <w:rsid w:val="00723B67"/>
    <w:rsid w:val="007263B9"/>
    <w:rsid w:val="007334F8"/>
    <w:rsid w:val="007339CD"/>
    <w:rsid w:val="00733F76"/>
    <w:rsid w:val="007359D8"/>
    <w:rsid w:val="007362D4"/>
    <w:rsid w:val="00744C0D"/>
    <w:rsid w:val="00751A23"/>
    <w:rsid w:val="00751A90"/>
    <w:rsid w:val="0075322D"/>
    <w:rsid w:val="0075469F"/>
    <w:rsid w:val="00755BA7"/>
    <w:rsid w:val="00757676"/>
    <w:rsid w:val="00765F27"/>
    <w:rsid w:val="0076672A"/>
    <w:rsid w:val="00772B21"/>
    <w:rsid w:val="0077469F"/>
    <w:rsid w:val="00774B1A"/>
    <w:rsid w:val="00775E45"/>
    <w:rsid w:val="00776E74"/>
    <w:rsid w:val="00785169"/>
    <w:rsid w:val="007954AB"/>
    <w:rsid w:val="007A12F4"/>
    <w:rsid w:val="007A14C5"/>
    <w:rsid w:val="007A2CE5"/>
    <w:rsid w:val="007A2E54"/>
    <w:rsid w:val="007A3E38"/>
    <w:rsid w:val="007A4A10"/>
    <w:rsid w:val="007B1760"/>
    <w:rsid w:val="007B26D9"/>
    <w:rsid w:val="007B3458"/>
    <w:rsid w:val="007C6D9C"/>
    <w:rsid w:val="007C7DDB"/>
    <w:rsid w:val="007D2CC7"/>
    <w:rsid w:val="007D3697"/>
    <w:rsid w:val="007D673D"/>
    <w:rsid w:val="007E10AA"/>
    <w:rsid w:val="007E5E2C"/>
    <w:rsid w:val="007E627A"/>
    <w:rsid w:val="007F2220"/>
    <w:rsid w:val="007F4B3E"/>
    <w:rsid w:val="007F588A"/>
    <w:rsid w:val="007F7EF4"/>
    <w:rsid w:val="008127AF"/>
    <w:rsid w:val="00812B46"/>
    <w:rsid w:val="00813BAF"/>
    <w:rsid w:val="00815032"/>
    <w:rsid w:val="00815700"/>
    <w:rsid w:val="00817B70"/>
    <w:rsid w:val="008209CE"/>
    <w:rsid w:val="00822F1D"/>
    <w:rsid w:val="0082546F"/>
    <w:rsid w:val="008264EB"/>
    <w:rsid w:val="00826B8F"/>
    <w:rsid w:val="00831E8A"/>
    <w:rsid w:val="008345E8"/>
    <w:rsid w:val="00835C76"/>
    <w:rsid w:val="00836AA1"/>
    <w:rsid w:val="00837915"/>
    <w:rsid w:val="00841111"/>
    <w:rsid w:val="00843049"/>
    <w:rsid w:val="00843756"/>
    <w:rsid w:val="008479A5"/>
    <w:rsid w:val="0085011B"/>
    <w:rsid w:val="0085139E"/>
    <w:rsid w:val="0085209B"/>
    <w:rsid w:val="00856B66"/>
    <w:rsid w:val="00861A5F"/>
    <w:rsid w:val="008644AD"/>
    <w:rsid w:val="00865735"/>
    <w:rsid w:val="00865DDB"/>
    <w:rsid w:val="00865EA8"/>
    <w:rsid w:val="00867538"/>
    <w:rsid w:val="00873D90"/>
    <w:rsid w:val="00873FC8"/>
    <w:rsid w:val="008769C8"/>
    <w:rsid w:val="00877ABB"/>
    <w:rsid w:val="00884C63"/>
    <w:rsid w:val="00885908"/>
    <w:rsid w:val="008864B7"/>
    <w:rsid w:val="0089677E"/>
    <w:rsid w:val="00896E8C"/>
    <w:rsid w:val="008A7438"/>
    <w:rsid w:val="008B1334"/>
    <w:rsid w:val="008B3E31"/>
    <w:rsid w:val="008B7878"/>
    <w:rsid w:val="008C0034"/>
    <w:rsid w:val="008C0278"/>
    <w:rsid w:val="008C24E9"/>
    <w:rsid w:val="008C4F28"/>
    <w:rsid w:val="008D0533"/>
    <w:rsid w:val="008D0D57"/>
    <w:rsid w:val="008D42CB"/>
    <w:rsid w:val="008D437F"/>
    <w:rsid w:val="008D48C9"/>
    <w:rsid w:val="008D57B3"/>
    <w:rsid w:val="008D5B79"/>
    <w:rsid w:val="008D6381"/>
    <w:rsid w:val="008D73BA"/>
    <w:rsid w:val="008E0C77"/>
    <w:rsid w:val="008E155C"/>
    <w:rsid w:val="008E4263"/>
    <w:rsid w:val="008E625F"/>
    <w:rsid w:val="008E7029"/>
    <w:rsid w:val="008F264D"/>
    <w:rsid w:val="008F349E"/>
    <w:rsid w:val="008F5FBB"/>
    <w:rsid w:val="008F7589"/>
    <w:rsid w:val="008F7F90"/>
    <w:rsid w:val="009074E1"/>
    <w:rsid w:val="009112F7"/>
    <w:rsid w:val="009122AF"/>
    <w:rsid w:val="009127BC"/>
    <w:rsid w:val="00912D54"/>
    <w:rsid w:val="0091389F"/>
    <w:rsid w:val="009208F7"/>
    <w:rsid w:val="00922517"/>
    <w:rsid w:val="00922722"/>
    <w:rsid w:val="009261E6"/>
    <w:rsid w:val="009268E1"/>
    <w:rsid w:val="00931DE6"/>
    <w:rsid w:val="0094061E"/>
    <w:rsid w:val="00941E78"/>
    <w:rsid w:val="00945E7F"/>
    <w:rsid w:val="009527D2"/>
    <w:rsid w:val="009528BA"/>
    <w:rsid w:val="00952BB6"/>
    <w:rsid w:val="009557C1"/>
    <w:rsid w:val="00956906"/>
    <w:rsid w:val="00960D6E"/>
    <w:rsid w:val="0097266D"/>
    <w:rsid w:val="00972BC1"/>
    <w:rsid w:val="00974B59"/>
    <w:rsid w:val="009806FE"/>
    <w:rsid w:val="0098092E"/>
    <w:rsid w:val="0098340B"/>
    <w:rsid w:val="00986830"/>
    <w:rsid w:val="00991E1D"/>
    <w:rsid w:val="009924C3"/>
    <w:rsid w:val="00993102"/>
    <w:rsid w:val="00997823"/>
    <w:rsid w:val="009B1266"/>
    <w:rsid w:val="009B1F9A"/>
    <w:rsid w:val="009B233E"/>
    <w:rsid w:val="009C4A39"/>
    <w:rsid w:val="009C6F10"/>
    <w:rsid w:val="009D148F"/>
    <w:rsid w:val="009D3D70"/>
    <w:rsid w:val="009D552E"/>
    <w:rsid w:val="009E660B"/>
    <w:rsid w:val="009E6F7E"/>
    <w:rsid w:val="009E75C2"/>
    <w:rsid w:val="009E7A57"/>
    <w:rsid w:val="009F1CA6"/>
    <w:rsid w:val="009F3963"/>
    <w:rsid w:val="009F4F6A"/>
    <w:rsid w:val="00A04084"/>
    <w:rsid w:val="00A120F8"/>
    <w:rsid w:val="00A16E36"/>
    <w:rsid w:val="00A24961"/>
    <w:rsid w:val="00A24B10"/>
    <w:rsid w:val="00A306F2"/>
    <w:rsid w:val="00A30E9B"/>
    <w:rsid w:val="00A33F5F"/>
    <w:rsid w:val="00A4512D"/>
    <w:rsid w:val="00A45835"/>
    <w:rsid w:val="00A50244"/>
    <w:rsid w:val="00A53A5F"/>
    <w:rsid w:val="00A54968"/>
    <w:rsid w:val="00A566F3"/>
    <w:rsid w:val="00A56F17"/>
    <w:rsid w:val="00A57133"/>
    <w:rsid w:val="00A627D7"/>
    <w:rsid w:val="00A62ECF"/>
    <w:rsid w:val="00A6437C"/>
    <w:rsid w:val="00A656C7"/>
    <w:rsid w:val="00A6715A"/>
    <w:rsid w:val="00A705AF"/>
    <w:rsid w:val="00A72454"/>
    <w:rsid w:val="00A77696"/>
    <w:rsid w:val="00A80557"/>
    <w:rsid w:val="00A81D33"/>
    <w:rsid w:val="00A930AE"/>
    <w:rsid w:val="00A9329A"/>
    <w:rsid w:val="00AA1A95"/>
    <w:rsid w:val="00AA260F"/>
    <w:rsid w:val="00AA37F7"/>
    <w:rsid w:val="00AA3BA9"/>
    <w:rsid w:val="00AA763F"/>
    <w:rsid w:val="00AB0067"/>
    <w:rsid w:val="00AB1EE7"/>
    <w:rsid w:val="00AB40A7"/>
    <w:rsid w:val="00AB4B37"/>
    <w:rsid w:val="00AB4E7A"/>
    <w:rsid w:val="00AB5281"/>
    <w:rsid w:val="00AB5762"/>
    <w:rsid w:val="00AC0C70"/>
    <w:rsid w:val="00AC2679"/>
    <w:rsid w:val="00AC4BE4"/>
    <w:rsid w:val="00AC6BF9"/>
    <w:rsid w:val="00AD05E6"/>
    <w:rsid w:val="00AD0D3F"/>
    <w:rsid w:val="00AE1D7D"/>
    <w:rsid w:val="00AE2A8B"/>
    <w:rsid w:val="00AE3F64"/>
    <w:rsid w:val="00AE4E82"/>
    <w:rsid w:val="00AF3BA4"/>
    <w:rsid w:val="00AF7386"/>
    <w:rsid w:val="00AF7934"/>
    <w:rsid w:val="00AF7FF9"/>
    <w:rsid w:val="00B00B81"/>
    <w:rsid w:val="00B04580"/>
    <w:rsid w:val="00B04B09"/>
    <w:rsid w:val="00B15F0A"/>
    <w:rsid w:val="00B16A51"/>
    <w:rsid w:val="00B25440"/>
    <w:rsid w:val="00B32222"/>
    <w:rsid w:val="00B34B1A"/>
    <w:rsid w:val="00B3618D"/>
    <w:rsid w:val="00B36233"/>
    <w:rsid w:val="00B42851"/>
    <w:rsid w:val="00B45AC7"/>
    <w:rsid w:val="00B523D9"/>
    <w:rsid w:val="00B5372F"/>
    <w:rsid w:val="00B55AA2"/>
    <w:rsid w:val="00B61129"/>
    <w:rsid w:val="00B64D80"/>
    <w:rsid w:val="00B67E7F"/>
    <w:rsid w:val="00B7222E"/>
    <w:rsid w:val="00B75A04"/>
    <w:rsid w:val="00B839B2"/>
    <w:rsid w:val="00B83F79"/>
    <w:rsid w:val="00B867C5"/>
    <w:rsid w:val="00B94252"/>
    <w:rsid w:val="00B94828"/>
    <w:rsid w:val="00B9715A"/>
    <w:rsid w:val="00BA0B59"/>
    <w:rsid w:val="00BA14BE"/>
    <w:rsid w:val="00BA2732"/>
    <w:rsid w:val="00BA293D"/>
    <w:rsid w:val="00BA49BC"/>
    <w:rsid w:val="00BA56B7"/>
    <w:rsid w:val="00BA70AB"/>
    <w:rsid w:val="00BA7A1E"/>
    <w:rsid w:val="00BA7CA9"/>
    <w:rsid w:val="00BB2F6C"/>
    <w:rsid w:val="00BB3875"/>
    <w:rsid w:val="00BB5860"/>
    <w:rsid w:val="00BB6AAD"/>
    <w:rsid w:val="00BC0B1A"/>
    <w:rsid w:val="00BC4A19"/>
    <w:rsid w:val="00BC4E6D"/>
    <w:rsid w:val="00BD0617"/>
    <w:rsid w:val="00BD2E9B"/>
    <w:rsid w:val="00BD4075"/>
    <w:rsid w:val="00BD46F5"/>
    <w:rsid w:val="00BE5C40"/>
    <w:rsid w:val="00BE7207"/>
    <w:rsid w:val="00BF07F6"/>
    <w:rsid w:val="00BF160A"/>
    <w:rsid w:val="00C00930"/>
    <w:rsid w:val="00C04A01"/>
    <w:rsid w:val="00C060AD"/>
    <w:rsid w:val="00C0670D"/>
    <w:rsid w:val="00C113BF"/>
    <w:rsid w:val="00C15F12"/>
    <w:rsid w:val="00C2176E"/>
    <w:rsid w:val="00C23430"/>
    <w:rsid w:val="00C24171"/>
    <w:rsid w:val="00C24F8B"/>
    <w:rsid w:val="00C27D67"/>
    <w:rsid w:val="00C314DE"/>
    <w:rsid w:val="00C3638A"/>
    <w:rsid w:val="00C407DC"/>
    <w:rsid w:val="00C415BC"/>
    <w:rsid w:val="00C4631F"/>
    <w:rsid w:val="00C50E16"/>
    <w:rsid w:val="00C5158F"/>
    <w:rsid w:val="00C55258"/>
    <w:rsid w:val="00C556BF"/>
    <w:rsid w:val="00C574DB"/>
    <w:rsid w:val="00C66222"/>
    <w:rsid w:val="00C82EEB"/>
    <w:rsid w:val="00C971DC"/>
    <w:rsid w:val="00CA16B7"/>
    <w:rsid w:val="00CA4BE3"/>
    <w:rsid w:val="00CA62AE"/>
    <w:rsid w:val="00CA79CF"/>
    <w:rsid w:val="00CB55AD"/>
    <w:rsid w:val="00CB5B1A"/>
    <w:rsid w:val="00CC220B"/>
    <w:rsid w:val="00CC4523"/>
    <w:rsid w:val="00CC5B34"/>
    <w:rsid w:val="00CC5C43"/>
    <w:rsid w:val="00CD02AE"/>
    <w:rsid w:val="00CD2A4F"/>
    <w:rsid w:val="00CE03CA"/>
    <w:rsid w:val="00CE1ABE"/>
    <w:rsid w:val="00CE22F1"/>
    <w:rsid w:val="00CE50F2"/>
    <w:rsid w:val="00CE6502"/>
    <w:rsid w:val="00CF14A6"/>
    <w:rsid w:val="00CF1680"/>
    <w:rsid w:val="00CF4545"/>
    <w:rsid w:val="00CF7D3C"/>
    <w:rsid w:val="00CF7E18"/>
    <w:rsid w:val="00D004E0"/>
    <w:rsid w:val="00D031AF"/>
    <w:rsid w:val="00D06330"/>
    <w:rsid w:val="00D11731"/>
    <w:rsid w:val="00D13BD5"/>
    <w:rsid w:val="00D147EB"/>
    <w:rsid w:val="00D234C9"/>
    <w:rsid w:val="00D3425E"/>
    <w:rsid w:val="00D34667"/>
    <w:rsid w:val="00D35286"/>
    <w:rsid w:val="00D36086"/>
    <w:rsid w:val="00D36C32"/>
    <w:rsid w:val="00D401E1"/>
    <w:rsid w:val="00D408B4"/>
    <w:rsid w:val="00D43069"/>
    <w:rsid w:val="00D445A6"/>
    <w:rsid w:val="00D44D21"/>
    <w:rsid w:val="00D45D94"/>
    <w:rsid w:val="00D45FE8"/>
    <w:rsid w:val="00D524C8"/>
    <w:rsid w:val="00D53030"/>
    <w:rsid w:val="00D53C2A"/>
    <w:rsid w:val="00D562D1"/>
    <w:rsid w:val="00D60E25"/>
    <w:rsid w:val="00D62DA8"/>
    <w:rsid w:val="00D70E24"/>
    <w:rsid w:val="00D714D0"/>
    <w:rsid w:val="00D716B3"/>
    <w:rsid w:val="00D72B61"/>
    <w:rsid w:val="00D73D17"/>
    <w:rsid w:val="00D86128"/>
    <w:rsid w:val="00DA053E"/>
    <w:rsid w:val="00DA3D1D"/>
    <w:rsid w:val="00DB0138"/>
    <w:rsid w:val="00DB6286"/>
    <w:rsid w:val="00DB645F"/>
    <w:rsid w:val="00DB66F6"/>
    <w:rsid w:val="00DB76E9"/>
    <w:rsid w:val="00DC0A67"/>
    <w:rsid w:val="00DC1D5E"/>
    <w:rsid w:val="00DC2313"/>
    <w:rsid w:val="00DC4051"/>
    <w:rsid w:val="00DC5220"/>
    <w:rsid w:val="00DC7910"/>
    <w:rsid w:val="00DD2061"/>
    <w:rsid w:val="00DD7DAB"/>
    <w:rsid w:val="00DE0A02"/>
    <w:rsid w:val="00DE1E8C"/>
    <w:rsid w:val="00DE3355"/>
    <w:rsid w:val="00DE65BE"/>
    <w:rsid w:val="00DF0ACE"/>
    <w:rsid w:val="00DF1525"/>
    <w:rsid w:val="00DF38A5"/>
    <w:rsid w:val="00DF486F"/>
    <w:rsid w:val="00DF5B5B"/>
    <w:rsid w:val="00DF6743"/>
    <w:rsid w:val="00DF7619"/>
    <w:rsid w:val="00E00CC9"/>
    <w:rsid w:val="00E042D8"/>
    <w:rsid w:val="00E0749C"/>
    <w:rsid w:val="00E07EE7"/>
    <w:rsid w:val="00E1103B"/>
    <w:rsid w:val="00E11996"/>
    <w:rsid w:val="00E17B44"/>
    <w:rsid w:val="00E23784"/>
    <w:rsid w:val="00E27FEA"/>
    <w:rsid w:val="00E36578"/>
    <w:rsid w:val="00E4086F"/>
    <w:rsid w:val="00E4088C"/>
    <w:rsid w:val="00E414A5"/>
    <w:rsid w:val="00E41A0F"/>
    <w:rsid w:val="00E4293C"/>
    <w:rsid w:val="00E43B3C"/>
    <w:rsid w:val="00E50188"/>
    <w:rsid w:val="00E515CB"/>
    <w:rsid w:val="00E51901"/>
    <w:rsid w:val="00E52154"/>
    <w:rsid w:val="00E52260"/>
    <w:rsid w:val="00E639B6"/>
    <w:rsid w:val="00E6434B"/>
    <w:rsid w:val="00E6463D"/>
    <w:rsid w:val="00E6734D"/>
    <w:rsid w:val="00E72E9B"/>
    <w:rsid w:val="00E74D9E"/>
    <w:rsid w:val="00E76C5B"/>
    <w:rsid w:val="00E83D14"/>
    <w:rsid w:val="00E849DA"/>
    <w:rsid w:val="00E875EC"/>
    <w:rsid w:val="00E911F2"/>
    <w:rsid w:val="00E9462E"/>
    <w:rsid w:val="00EA3F60"/>
    <w:rsid w:val="00EA470E"/>
    <w:rsid w:val="00EA47A7"/>
    <w:rsid w:val="00EA57EB"/>
    <w:rsid w:val="00EA7F97"/>
    <w:rsid w:val="00EB141F"/>
    <w:rsid w:val="00EB3226"/>
    <w:rsid w:val="00EB734E"/>
    <w:rsid w:val="00EC213A"/>
    <w:rsid w:val="00EC6603"/>
    <w:rsid w:val="00EC7744"/>
    <w:rsid w:val="00ED0DAD"/>
    <w:rsid w:val="00ED0F46"/>
    <w:rsid w:val="00ED2373"/>
    <w:rsid w:val="00ED32CB"/>
    <w:rsid w:val="00ED6E10"/>
    <w:rsid w:val="00EE206A"/>
    <w:rsid w:val="00EE3E8A"/>
    <w:rsid w:val="00EE3ED4"/>
    <w:rsid w:val="00EE7F3E"/>
    <w:rsid w:val="00EF6ECA"/>
    <w:rsid w:val="00F024E1"/>
    <w:rsid w:val="00F02579"/>
    <w:rsid w:val="00F06C10"/>
    <w:rsid w:val="00F1096F"/>
    <w:rsid w:val="00F11FE4"/>
    <w:rsid w:val="00F12589"/>
    <w:rsid w:val="00F12595"/>
    <w:rsid w:val="00F134D9"/>
    <w:rsid w:val="00F1403D"/>
    <w:rsid w:val="00F1463F"/>
    <w:rsid w:val="00F14A83"/>
    <w:rsid w:val="00F21302"/>
    <w:rsid w:val="00F321DE"/>
    <w:rsid w:val="00F33777"/>
    <w:rsid w:val="00F356DF"/>
    <w:rsid w:val="00F40648"/>
    <w:rsid w:val="00F47DA2"/>
    <w:rsid w:val="00F519FC"/>
    <w:rsid w:val="00F539E6"/>
    <w:rsid w:val="00F60D1E"/>
    <w:rsid w:val="00F6239D"/>
    <w:rsid w:val="00F63544"/>
    <w:rsid w:val="00F715D2"/>
    <w:rsid w:val="00F71726"/>
    <w:rsid w:val="00F7274F"/>
    <w:rsid w:val="00F76FA8"/>
    <w:rsid w:val="00F86F85"/>
    <w:rsid w:val="00F93F08"/>
    <w:rsid w:val="00F94CED"/>
    <w:rsid w:val="00FA2CEE"/>
    <w:rsid w:val="00FA318C"/>
    <w:rsid w:val="00FA5356"/>
    <w:rsid w:val="00FB5FE4"/>
    <w:rsid w:val="00FB6F92"/>
    <w:rsid w:val="00FC026E"/>
    <w:rsid w:val="00FC36AA"/>
    <w:rsid w:val="00FC5124"/>
    <w:rsid w:val="00FC6543"/>
    <w:rsid w:val="00FD4731"/>
    <w:rsid w:val="00FD5699"/>
    <w:rsid w:val="00FF0AB0"/>
    <w:rsid w:val="00FF22A5"/>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1A54F"/>
  <w15:docId w15:val="{267B0516-890A-4458-8810-D7DA87E3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uiPriority w:val="9"/>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uiPriority w:val="9"/>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uiPriority w:val="9"/>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pPr>
  </w:style>
  <w:style w:type="paragraph" w:styleId="ListBullet">
    <w:name w:val="List Bullet"/>
    <w:basedOn w:val="Normal"/>
    <w:qFormat/>
    <w:rsid w:val="00BA70AB"/>
    <w:pPr>
      <w:numPr>
        <w:numId w:val="5"/>
      </w:numPr>
      <w:tabs>
        <w:tab w:val="left" w:pos="340"/>
        <w:tab w:val="left" w:pos="680"/>
      </w:tabs>
      <w:spacing w:before="60" w:after="6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0B067A"/>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sz w:val="16"/>
      <w:szCs w:val="16"/>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Heading1Char">
    <w:name w:val="Heading 1 Char"/>
    <w:basedOn w:val="DefaultParagraphFont"/>
    <w:link w:val="Heading1"/>
    <w:uiPriority w:val="9"/>
    <w:rsid w:val="00D3425E"/>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D3425E"/>
    <w:rPr>
      <w:rFonts w:ascii="Arial" w:hAnsi="Arial" w:cs="Arial"/>
      <w:b/>
      <w:bCs/>
      <w:iCs/>
      <w:color w:val="358189"/>
      <w:sz w:val="36"/>
      <w:szCs w:val="28"/>
      <w:lang w:eastAsia="en-US"/>
    </w:rPr>
  </w:style>
  <w:style w:type="character" w:customStyle="1" w:styleId="Heading3Char">
    <w:name w:val="Heading 3 Char"/>
    <w:basedOn w:val="DefaultParagraphFont"/>
    <w:link w:val="Heading3"/>
    <w:uiPriority w:val="9"/>
    <w:rsid w:val="00D3425E"/>
    <w:rPr>
      <w:rFonts w:ascii="Arial" w:hAnsi="Arial" w:cs="Arial"/>
      <w:b/>
      <w:bCs/>
      <w:color w:val="358189"/>
      <w:sz w:val="32"/>
      <w:szCs w:val="26"/>
      <w:lang w:eastAsia="en-US"/>
    </w:rPr>
  </w:style>
  <w:style w:type="character" w:customStyle="1" w:styleId="Heading4Char">
    <w:name w:val="Heading 4 Char"/>
    <w:basedOn w:val="DefaultParagraphFont"/>
    <w:link w:val="Heading4"/>
    <w:uiPriority w:val="9"/>
    <w:rsid w:val="00D3425E"/>
    <w:rPr>
      <w:rFonts w:ascii="Arial" w:hAnsi="Arial"/>
      <w:b/>
      <w:bCs/>
      <w:i/>
      <w:color w:val="358189" w:themeColor="accent2"/>
      <w:sz w:val="28"/>
      <w:szCs w:val="28"/>
      <w:lang w:eastAsia="en-US"/>
    </w:rPr>
  </w:style>
  <w:style w:type="paragraph" w:customStyle="1" w:styleId="Tabletext">
    <w:name w:val="Table text"/>
    <w:link w:val="TabletextChar"/>
    <w:rsid w:val="00D3425E"/>
    <w:pPr>
      <w:spacing w:before="20" w:after="20"/>
    </w:pPr>
    <w:rPr>
      <w:rFonts w:ascii="Arial" w:hAnsi="Arial" w:cs="Arial"/>
    </w:rPr>
  </w:style>
  <w:style w:type="character" w:customStyle="1" w:styleId="TabletextChar">
    <w:name w:val="Table text Char"/>
    <w:link w:val="Tabletext"/>
    <w:locked/>
    <w:rsid w:val="00D3425E"/>
    <w:rPr>
      <w:rFonts w:ascii="Arial" w:hAnsi="Arial" w:cs="Arial"/>
    </w:rPr>
  </w:style>
  <w:style w:type="paragraph" w:customStyle="1" w:styleId="Default">
    <w:name w:val="Default"/>
    <w:uiPriority w:val="99"/>
    <w:rsid w:val="00D3425E"/>
    <w:pPr>
      <w:autoSpaceDE w:val="0"/>
      <w:autoSpaceDN w:val="0"/>
      <w:adjustRightInd w:val="0"/>
      <w:spacing w:before="120" w:after="120"/>
    </w:pPr>
    <w:rPr>
      <w:rFonts w:ascii="Arial" w:hAnsi="Arial" w:cs="Arial"/>
      <w:color w:val="000000"/>
      <w:sz w:val="24"/>
      <w:szCs w:val="24"/>
      <w:lang w:val="en-US" w:eastAsia="en-US"/>
    </w:rPr>
  </w:style>
  <w:style w:type="paragraph" w:customStyle="1" w:styleId="paragraph">
    <w:name w:val="paragraph"/>
    <w:aliases w:val="a"/>
    <w:link w:val="paragraphChar"/>
    <w:rsid w:val="00D3425E"/>
    <w:pPr>
      <w:tabs>
        <w:tab w:val="right" w:pos="1531"/>
      </w:tabs>
      <w:spacing w:before="40" w:after="120"/>
      <w:ind w:left="1644" w:hanging="1644"/>
    </w:pPr>
    <w:rPr>
      <w:sz w:val="22"/>
      <w:szCs w:val="22"/>
    </w:rPr>
  </w:style>
  <w:style w:type="character" w:customStyle="1" w:styleId="paragraphChar">
    <w:name w:val="paragraph Char"/>
    <w:aliases w:val="a Char"/>
    <w:link w:val="paragraph"/>
    <w:rsid w:val="00D3425E"/>
    <w:rPr>
      <w:sz w:val="22"/>
      <w:szCs w:val="22"/>
    </w:rPr>
  </w:style>
  <w:style w:type="paragraph" w:styleId="TOCHeading">
    <w:name w:val="TOC Heading"/>
    <w:basedOn w:val="Heading1"/>
    <w:next w:val="Normal"/>
    <w:uiPriority w:val="39"/>
    <w:unhideWhenUsed/>
    <w:qFormat/>
    <w:rsid w:val="00D3425E"/>
    <w:pPr>
      <w:keepLines/>
      <w:spacing w:before="480" w:after="0" w:line="276" w:lineRule="auto"/>
      <w:outlineLvl w:val="9"/>
    </w:pPr>
    <w:rPr>
      <w:rFonts w:asciiTheme="majorHAnsi" w:eastAsiaTheme="majorEastAsia" w:hAnsiTheme="majorHAnsi" w:cstheme="majorBidi"/>
      <w:color w:val="2F3757" w:themeColor="accent1" w:themeShade="BF"/>
      <w:kern w:val="0"/>
      <w:sz w:val="28"/>
      <w:szCs w:val="28"/>
      <w:lang w:val="en-US" w:eastAsia="ja-JP"/>
    </w:rPr>
  </w:style>
  <w:style w:type="paragraph" w:styleId="TOC1">
    <w:name w:val="toc 1"/>
    <w:basedOn w:val="Normal"/>
    <w:next w:val="Normal"/>
    <w:autoRedefine/>
    <w:uiPriority w:val="39"/>
    <w:unhideWhenUsed/>
    <w:rsid w:val="00D3425E"/>
    <w:pPr>
      <w:spacing w:before="0" w:after="100"/>
    </w:pPr>
    <w:rPr>
      <w:rFonts w:asciiTheme="minorHAnsi" w:eastAsiaTheme="minorHAnsi" w:hAnsiTheme="minorHAnsi" w:cstheme="minorBidi"/>
      <w:color w:val="auto"/>
      <w:szCs w:val="22"/>
    </w:rPr>
  </w:style>
  <w:style w:type="paragraph" w:styleId="TOC2">
    <w:name w:val="toc 2"/>
    <w:basedOn w:val="Normal"/>
    <w:next w:val="Normal"/>
    <w:autoRedefine/>
    <w:uiPriority w:val="39"/>
    <w:unhideWhenUsed/>
    <w:rsid w:val="00D3425E"/>
    <w:pPr>
      <w:spacing w:before="0" w:after="100"/>
      <w:ind w:left="220"/>
    </w:pPr>
    <w:rPr>
      <w:rFonts w:asciiTheme="minorHAnsi" w:eastAsiaTheme="minorHAnsi" w:hAnsiTheme="minorHAnsi" w:cstheme="minorBidi"/>
      <w:color w:val="auto"/>
      <w:szCs w:val="22"/>
    </w:rPr>
  </w:style>
  <w:style w:type="paragraph" w:styleId="TOC3">
    <w:name w:val="toc 3"/>
    <w:basedOn w:val="Normal"/>
    <w:next w:val="Normal"/>
    <w:autoRedefine/>
    <w:uiPriority w:val="39"/>
    <w:unhideWhenUsed/>
    <w:rsid w:val="00D3425E"/>
    <w:pPr>
      <w:spacing w:before="0" w:after="100"/>
      <w:ind w:left="440"/>
    </w:pPr>
    <w:rPr>
      <w:rFonts w:asciiTheme="minorHAnsi" w:eastAsiaTheme="minorHAnsi" w:hAnsiTheme="minorHAnsi" w:cstheme="minorBidi"/>
      <w:color w:val="auto"/>
      <w:szCs w:val="22"/>
    </w:rPr>
  </w:style>
  <w:style w:type="character" w:styleId="CommentReference">
    <w:name w:val="annotation reference"/>
    <w:basedOn w:val="DefaultParagraphFont"/>
    <w:uiPriority w:val="99"/>
    <w:unhideWhenUsed/>
    <w:rsid w:val="00D3425E"/>
    <w:rPr>
      <w:sz w:val="16"/>
      <w:szCs w:val="16"/>
    </w:rPr>
  </w:style>
  <w:style w:type="paragraph" w:styleId="CommentText">
    <w:name w:val="annotation text"/>
    <w:basedOn w:val="Normal"/>
    <w:link w:val="CommentTextChar"/>
    <w:uiPriority w:val="99"/>
    <w:unhideWhenUsed/>
    <w:rsid w:val="00D3425E"/>
    <w:pPr>
      <w:spacing w:before="0" w:after="20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3425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3425E"/>
    <w:rPr>
      <w:b/>
      <w:bCs/>
    </w:rPr>
  </w:style>
  <w:style w:type="character" w:customStyle="1" w:styleId="CommentSubjectChar">
    <w:name w:val="Comment Subject Char"/>
    <w:basedOn w:val="CommentTextChar"/>
    <w:link w:val="CommentSubject"/>
    <w:uiPriority w:val="99"/>
    <w:semiHidden/>
    <w:rsid w:val="00D3425E"/>
    <w:rPr>
      <w:rFonts w:asciiTheme="minorHAnsi" w:eastAsiaTheme="minorHAnsi" w:hAnsiTheme="minorHAnsi" w:cstheme="minorBidi"/>
      <w:b/>
      <w:bCs/>
      <w:lang w:eastAsia="en-US"/>
    </w:rPr>
  </w:style>
  <w:style w:type="paragraph" w:styleId="Revision">
    <w:name w:val="Revision"/>
    <w:hidden/>
    <w:uiPriority w:val="99"/>
    <w:semiHidden/>
    <w:rsid w:val="00D3425E"/>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D3425E"/>
  </w:style>
  <w:style w:type="character" w:styleId="FollowedHyperlink">
    <w:name w:val="FollowedHyperlink"/>
    <w:basedOn w:val="DefaultParagraphFont"/>
    <w:uiPriority w:val="99"/>
    <w:semiHidden/>
    <w:unhideWhenUsed/>
    <w:rsid w:val="00D3425E"/>
    <w:rPr>
      <w:color w:val="800080" w:themeColor="followedHyperlink"/>
      <w:u w:val="single"/>
    </w:rPr>
  </w:style>
  <w:style w:type="character" w:customStyle="1" w:styleId="UnresolvedMention1">
    <w:name w:val="Unresolved Mention1"/>
    <w:basedOn w:val="DefaultParagraphFont"/>
    <w:uiPriority w:val="99"/>
    <w:semiHidden/>
    <w:unhideWhenUsed/>
    <w:rsid w:val="00D3425E"/>
    <w:rPr>
      <w:color w:val="605E5C"/>
      <w:shd w:val="clear" w:color="auto" w:fill="E1DFDD"/>
    </w:rPr>
  </w:style>
  <w:style w:type="character" w:styleId="UnresolvedMention">
    <w:name w:val="Unresolved Mention"/>
    <w:basedOn w:val="DefaultParagraphFont"/>
    <w:uiPriority w:val="99"/>
    <w:semiHidden/>
    <w:unhideWhenUsed/>
    <w:rsid w:val="00D3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formsadministration.com.au/dss.nsf/home.xsp" TargetMode="External"/><Relationship Id="rId18" Type="http://schemas.openxmlformats.org/officeDocument/2006/relationships/hyperlink" Target="mailto:ACFRQFRQueries@health.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ealth.formsadministration.com.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qfracfrhelp@health.gov.au"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formsadministration.com.au/dss.nsf/home.xsp" TargetMode="External"/><Relationship Id="rId20" Type="http://schemas.openxmlformats.org/officeDocument/2006/relationships/hyperlink" Target="https://asic.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topics/aged-care/providing-aged-care-services/reporting/aged-care-financial-report" TargetMode="External"/><Relationship Id="rId23" Type="http://schemas.openxmlformats.org/officeDocument/2006/relationships/hyperlink" Target="https://health.formsadministration.com.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health.formsadministration.com.au/dss.nsf/home.xsp"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formsadministration.com.au" TargetMode="External"/><Relationship Id="rId22" Type="http://schemas.openxmlformats.org/officeDocument/2006/relationships/hyperlink" Target="https://health.formsadministration.com.au" TargetMode="External"/><Relationship Id="rId27" Type="http://schemas.openxmlformats.org/officeDocument/2006/relationships/footer" Target="footer2.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san\OneDrive%20-%20Department%20of%20Health\Desktop\Andrew%20Work%20FOLDER\GOVCMS%20JOBS\New%20folder\ACFR%20Guide%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B08E-36DA-4FA6-A50E-EAAA4D3C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7e344f6c-33c4-4639-9c4a-e760d75a1222"/>
    <ds:schemaRef ds:uri="02622428-b056-4156-8618-9b4665fa4c5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ACFR Guide 2023.dotx</Template>
  <TotalTime>1</TotalTime>
  <Pages>22</Pages>
  <Words>5579</Words>
  <Characters>31160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2023-24 Aged care financial report - ACFR guide</vt:lpstr>
    </vt:vector>
  </TitlesOfParts>
  <Company/>
  <LinksUpToDate>false</LinksUpToDate>
  <CharactersWithSpaces>36666</CharactersWithSpaces>
  <SharedDoc>false</SharedDoc>
  <HLinks>
    <vt:vector size="48" baseType="variant">
      <vt:variant>
        <vt:i4>2162803</vt:i4>
      </vt:variant>
      <vt:variant>
        <vt:i4>21</vt:i4>
      </vt:variant>
      <vt:variant>
        <vt:i4>0</vt:i4>
      </vt:variant>
      <vt:variant>
        <vt:i4>5</vt:i4>
      </vt:variant>
      <vt:variant>
        <vt:lpwstr>https://health.formsadministration.com.au/</vt:lpwstr>
      </vt:variant>
      <vt:variant>
        <vt:lpwstr/>
      </vt:variant>
      <vt:variant>
        <vt:i4>2162803</vt:i4>
      </vt:variant>
      <vt:variant>
        <vt:i4>18</vt:i4>
      </vt:variant>
      <vt:variant>
        <vt:i4>0</vt:i4>
      </vt:variant>
      <vt:variant>
        <vt:i4>5</vt:i4>
      </vt:variant>
      <vt:variant>
        <vt:lpwstr>https://health.formsadministration.com.au/</vt:lpwstr>
      </vt:variant>
      <vt:variant>
        <vt:lpwstr/>
      </vt:variant>
      <vt:variant>
        <vt:i4>2162803</vt:i4>
      </vt:variant>
      <vt:variant>
        <vt:i4>15</vt:i4>
      </vt:variant>
      <vt:variant>
        <vt:i4>0</vt:i4>
      </vt:variant>
      <vt:variant>
        <vt:i4>5</vt:i4>
      </vt:variant>
      <vt:variant>
        <vt:lpwstr>https://health.formsadministration.com.au/</vt:lpwstr>
      </vt:variant>
      <vt:variant>
        <vt:lpwstr/>
      </vt:variant>
      <vt:variant>
        <vt:i4>3735600</vt:i4>
      </vt:variant>
      <vt:variant>
        <vt:i4>12</vt:i4>
      </vt:variant>
      <vt:variant>
        <vt:i4>0</vt:i4>
      </vt:variant>
      <vt:variant>
        <vt:i4>5</vt:i4>
      </vt:variant>
      <vt:variant>
        <vt:lpwstr>http://www.asic.gov.au/</vt:lpwstr>
      </vt:variant>
      <vt:variant>
        <vt:lpwstr/>
      </vt:variant>
      <vt:variant>
        <vt:i4>2162803</vt:i4>
      </vt:variant>
      <vt:variant>
        <vt:i4>9</vt:i4>
      </vt:variant>
      <vt:variant>
        <vt:i4>0</vt:i4>
      </vt:variant>
      <vt:variant>
        <vt:i4>5</vt:i4>
      </vt:variant>
      <vt:variant>
        <vt:lpwstr>https://health.formsadministration.com.au/</vt:lpwstr>
      </vt:variant>
      <vt:variant>
        <vt:lpwstr/>
      </vt:variant>
      <vt:variant>
        <vt:i4>5570593</vt:i4>
      </vt:variant>
      <vt:variant>
        <vt:i4>6</vt:i4>
      </vt:variant>
      <vt:variant>
        <vt:i4>0</vt:i4>
      </vt:variant>
      <vt:variant>
        <vt:i4>5</vt:i4>
      </vt:variant>
      <vt:variant>
        <vt:lpwstr>mailto:ACFRQFRQueries@health.gov.au</vt:lpwstr>
      </vt:variant>
      <vt:variant>
        <vt:lpwstr/>
      </vt:variant>
      <vt:variant>
        <vt:i4>131198</vt:i4>
      </vt:variant>
      <vt:variant>
        <vt:i4>3</vt:i4>
      </vt:variant>
      <vt:variant>
        <vt:i4>0</vt:i4>
      </vt:variant>
      <vt:variant>
        <vt:i4>5</vt:i4>
      </vt:variant>
      <vt:variant>
        <vt:lpwstr>mailto:qfracfrhelp@health.gov.au</vt:lpwstr>
      </vt:variant>
      <vt:variant>
        <vt:lpwstr/>
      </vt:variant>
      <vt:variant>
        <vt:i4>2162803</vt:i4>
      </vt:variant>
      <vt:variant>
        <vt:i4>0</vt:i4>
      </vt:variant>
      <vt:variant>
        <vt:i4>0</vt:i4>
      </vt:variant>
      <vt:variant>
        <vt:i4>5</vt:i4>
      </vt:variant>
      <vt:variant>
        <vt:lpwstr>https://health.formsadministration.com.au/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Aged care financial report - ACFR guide</dc:title>
  <dc:subject>Aged Care</dc:subject>
  <dc:creator>Australian Government Department of Health and Aged Care</dc:creator>
  <cp:keywords>Aged Care</cp:keywords>
  <cp:lastModifiedBy>OCALLAGHAN, James</cp:lastModifiedBy>
  <cp:revision>3</cp:revision>
  <dcterms:created xsi:type="dcterms:W3CDTF">2024-09-13T04:09:00Z</dcterms:created>
  <dcterms:modified xsi:type="dcterms:W3CDTF">2024-09-13T04:10:00Z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0x010100310F25F82DC70E46BECCBAC5959F994A</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