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A2F0" w14:textId="77777777" w:rsidR="00392658" w:rsidRPr="0031644F" w:rsidRDefault="00392658" w:rsidP="00437F18">
      <w:pPr>
        <w:spacing w:line="240" w:lineRule="auto"/>
        <w:rPr>
          <w:rFonts w:ascii="Calibri" w:hAnsi="Calibri"/>
          <w:color w:val="BFBFBF" w:themeColor="background1" w:themeShade="BF"/>
          <w:szCs w:val="24"/>
        </w:rPr>
      </w:pPr>
      <w:r w:rsidRPr="0031644F">
        <w:rPr>
          <w:rFonts w:ascii="Calibri" w:hAnsi="Calibri"/>
          <w:color w:val="BFBFBF" w:themeColor="background1" w:themeShade="BF"/>
          <w:szCs w:val="24"/>
        </w:rPr>
        <w:t xml:space="preserve">(Qualified opinion) </w:t>
      </w:r>
    </w:p>
    <w:p w14:paraId="79A5C77F" w14:textId="77777777" w:rsidR="00136E53" w:rsidRPr="002A0892" w:rsidRDefault="00136E53" w:rsidP="003C12D4">
      <w:pPr>
        <w:pStyle w:val="Heading1"/>
      </w:pPr>
      <w:r w:rsidRPr="002A0892">
        <w:t xml:space="preserve">INDEPENDENT AUDITOR’S REPORT </w:t>
      </w:r>
    </w:p>
    <w:p w14:paraId="67E34C12" w14:textId="0210E4C9" w:rsidR="00136E53" w:rsidRPr="0031644F" w:rsidRDefault="00136E53" w:rsidP="00136E53">
      <w:pPr>
        <w:spacing w:after="120" w:line="240" w:lineRule="auto"/>
        <w:rPr>
          <w:rFonts w:ascii="Calibri" w:hAnsi="Calibri"/>
          <w:sz w:val="22"/>
        </w:rPr>
      </w:pPr>
      <w:r w:rsidRPr="0031644F">
        <w:rPr>
          <w:rFonts w:ascii="Calibri" w:hAnsi="Calibri"/>
          <w:sz w:val="22"/>
        </w:rPr>
        <w:t xml:space="preserve">To the </w:t>
      </w:r>
      <w:r>
        <w:rPr>
          <w:rStyle w:val="FootnoteReference"/>
          <w:rFonts w:ascii="Calibri" w:hAnsi="Calibri"/>
          <w:sz w:val="22"/>
        </w:rPr>
        <w:footnoteReference w:id="1"/>
      </w:r>
      <w:r w:rsidRPr="0031644F">
        <w:rPr>
          <w:rFonts w:ascii="Calibri" w:hAnsi="Calibri"/>
          <w:sz w:val="22"/>
        </w:rPr>
        <w:t>Directors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the Dep</w:t>
      </w:r>
      <w:r w:rsidR="00B369D4">
        <w:rPr>
          <w:rFonts w:ascii="Calibri" w:hAnsi="Calibri"/>
          <w:sz w:val="22"/>
        </w:rPr>
        <w:t>artment of Health and Aged Care</w:t>
      </w:r>
      <w:r w:rsidRPr="0031644F">
        <w:rPr>
          <w:rFonts w:ascii="Calibri" w:hAnsi="Calibri"/>
          <w:sz w:val="22"/>
        </w:rPr>
        <w:t xml:space="preserve">. </w:t>
      </w:r>
    </w:p>
    <w:p w14:paraId="15EA2EFA" w14:textId="70A935C2" w:rsidR="00136E53" w:rsidRPr="002A0892" w:rsidRDefault="00136E53" w:rsidP="00136E53">
      <w:pPr>
        <w:spacing w:after="120" w:line="240" w:lineRule="auto"/>
        <w:rPr>
          <w:rStyle w:val="Strong"/>
        </w:rPr>
      </w:pPr>
      <w:r w:rsidRPr="002A0892">
        <w:rPr>
          <w:rStyle w:val="Strong"/>
        </w:rPr>
        <w:t xml:space="preserve">Report on [approved provider name]’s compliance with the </w:t>
      </w:r>
      <w:r w:rsidRPr="00AB7735">
        <w:rPr>
          <w:rStyle w:val="Strong"/>
          <w:i/>
        </w:rPr>
        <w:t>Aged Care Act 1997</w:t>
      </w:r>
      <w:r w:rsidRPr="002A0892">
        <w:rPr>
          <w:rStyle w:val="Strong"/>
        </w:rPr>
        <w:t xml:space="preserve"> </w:t>
      </w:r>
      <w:r w:rsidR="00D13902">
        <w:rPr>
          <w:rStyle w:val="Strong"/>
        </w:rPr>
        <w:t xml:space="preserve">(the Act) </w:t>
      </w:r>
      <w:r w:rsidRPr="002A0892">
        <w:rPr>
          <w:rStyle w:val="Strong"/>
        </w:rPr>
        <w:t xml:space="preserve">and the </w:t>
      </w:r>
      <w:r w:rsidRPr="003C12D4">
        <w:rPr>
          <w:rStyle w:val="IntenseEmphasis"/>
        </w:rPr>
        <w:t>Fees and Payments Principles 2014 (no.2)</w:t>
      </w:r>
      <w:r w:rsidR="00D13902">
        <w:rPr>
          <w:rStyle w:val="IntenseEmphasis"/>
          <w:i w:val="0"/>
        </w:rPr>
        <w:t>(Fees and Payments Principles</w:t>
      </w:r>
      <w:r w:rsidR="000D5B2E">
        <w:rPr>
          <w:rStyle w:val="IntenseEmphasis"/>
          <w:i w:val="0"/>
        </w:rPr>
        <w:t>)</w:t>
      </w:r>
      <w:r w:rsidR="000D5B2E">
        <w:rPr>
          <w:rStyle w:val="IntenseEmphasis"/>
        </w:rPr>
        <w:t>.</w:t>
      </w:r>
      <w:r w:rsidRPr="002A0892">
        <w:rPr>
          <w:rStyle w:val="Strong"/>
        </w:rPr>
        <w:t xml:space="preserve"> </w:t>
      </w:r>
    </w:p>
    <w:p w14:paraId="5418D787" w14:textId="725FE3F5" w:rsidR="00136E53" w:rsidRDefault="00136E53" w:rsidP="00136E53">
      <w:pPr>
        <w:spacing w:after="120" w:line="240" w:lineRule="auto"/>
        <w:rPr>
          <w:rFonts w:ascii="Calibri" w:hAnsi="Calibri" w:cs="Times New Roman"/>
          <w:color w:val="000000"/>
          <w:sz w:val="22"/>
        </w:rPr>
      </w:pPr>
      <w:r w:rsidRPr="0031644F">
        <w:rPr>
          <w:rFonts w:ascii="Calibri" w:hAnsi="Calibri" w:cs="Times New Roman"/>
          <w:color w:val="000000"/>
          <w:sz w:val="22"/>
        </w:rPr>
        <w:t>We have audited the compliance of [</w:t>
      </w:r>
      <w:r w:rsidRPr="00922DCB">
        <w:rPr>
          <w:rFonts w:ascii="Calibri" w:hAnsi="Calibri" w:cs="Times New Roman"/>
          <w:b/>
          <w:color w:val="000000"/>
          <w:sz w:val="22"/>
        </w:rPr>
        <w:t>approved provider name</w:t>
      </w:r>
      <w:r w:rsidRPr="0031644F">
        <w:rPr>
          <w:rFonts w:ascii="Calibri" w:hAnsi="Calibri" w:cs="Times New Roman"/>
          <w:color w:val="000000"/>
          <w:sz w:val="22"/>
        </w:rPr>
        <w:t xml:space="preserve">] with the requirements of Part </w:t>
      </w:r>
      <w:r>
        <w:rPr>
          <w:rFonts w:ascii="Calibri" w:hAnsi="Calibri" w:cs="Times New Roman"/>
          <w:color w:val="000000"/>
          <w:sz w:val="22"/>
        </w:rPr>
        <w:t>5</w:t>
      </w:r>
      <w:r w:rsidR="008F4634">
        <w:rPr>
          <w:rFonts w:ascii="Calibri" w:hAnsi="Calibri" w:cs="Times New Roman"/>
          <w:color w:val="000000"/>
          <w:sz w:val="22"/>
        </w:rPr>
        <w:t>, Part 6</w:t>
      </w:r>
      <w:r w:rsidR="008C083A">
        <w:rPr>
          <w:rFonts w:ascii="Calibri" w:hAnsi="Calibri" w:cs="Times New Roman"/>
          <w:color w:val="000000"/>
          <w:sz w:val="22"/>
        </w:rPr>
        <w:t xml:space="preserve"> and Part </w:t>
      </w:r>
      <w:r w:rsidR="008F4634">
        <w:rPr>
          <w:rFonts w:ascii="Calibri" w:hAnsi="Calibri" w:cs="Times New Roman"/>
          <w:color w:val="000000"/>
          <w:sz w:val="22"/>
        </w:rPr>
        <w:t>7</w:t>
      </w:r>
      <w:r w:rsidRPr="0031644F">
        <w:rPr>
          <w:rFonts w:ascii="Calibri" w:hAnsi="Calibri" w:cs="Times New Roman"/>
          <w:color w:val="000000"/>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D13902" w:rsidRPr="00DE0A2A" w:rsidDel="00D13902">
        <w:rPr>
          <w:rFonts w:ascii="Calibri" w:hAnsi="Calibri"/>
          <w:bCs/>
          <w:i/>
          <w:iCs/>
          <w:sz w:val="22"/>
        </w:rPr>
        <w:t xml:space="preserve"> </w:t>
      </w:r>
      <w:r w:rsidRPr="0031644F">
        <w:rPr>
          <w:rFonts w:ascii="Calibri" w:hAnsi="Calibri" w:cs="Times New Roman"/>
          <w:color w:val="000000"/>
          <w:sz w:val="22"/>
        </w:rPr>
        <w:t xml:space="preserve">for the period </w:t>
      </w:r>
      <w:r w:rsidRPr="0031644F">
        <w:rPr>
          <w:rFonts w:ascii="Calibri" w:hAnsi="Calibri"/>
          <w:sz w:val="22"/>
        </w:rPr>
        <w:t>[</w:t>
      </w:r>
      <w:r w:rsidRPr="003C12D4">
        <w:rPr>
          <w:rStyle w:val="Strong"/>
          <w:highlight w:val="yellow"/>
        </w:rPr>
        <w:t>insert date</w:t>
      </w:r>
      <w:r w:rsidRPr="0031644F">
        <w:rPr>
          <w:rFonts w:ascii="Calibri" w:hAnsi="Calibri"/>
          <w:sz w:val="22"/>
        </w:rPr>
        <w:t xml:space="preserve">] </w:t>
      </w:r>
      <w:r w:rsidRPr="0031644F">
        <w:rPr>
          <w:rFonts w:ascii="Calibri" w:hAnsi="Calibri" w:cs="Times New Roman"/>
          <w:color w:val="000000"/>
          <w:sz w:val="22"/>
        </w:rPr>
        <w:t xml:space="preserve">to </w:t>
      </w:r>
      <w:r w:rsidRPr="0031644F">
        <w:rPr>
          <w:rFonts w:ascii="Calibri" w:hAnsi="Calibri"/>
          <w:sz w:val="22"/>
        </w:rPr>
        <w:t>[</w:t>
      </w:r>
      <w:r w:rsidRPr="003C12D4">
        <w:rPr>
          <w:rStyle w:val="Strong"/>
          <w:highlight w:val="yellow"/>
        </w:rPr>
        <w:t>insert date</w:t>
      </w:r>
      <w:r w:rsidRPr="0031644F">
        <w:rPr>
          <w:rFonts w:ascii="Calibri" w:hAnsi="Calibri"/>
          <w:sz w:val="22"/>
        </w:rPr>
        <w:t>]</w:t>
      </w:r>
      <w:r w:rsidRPr="0031644F">
        <w:rPr>
          <w:rFonts w:ascii="Calibri" w:hAnsi="Calibri" w:cs="Times New Roman"/>
          <w:color w:val="000000"/>
          <w:sz w:val="22"/>
        </w:rPr>
        <w:t xml:space="preserve">. </w:t>
      </w:r>
    </w:p>
    <w:p w14:paraId="58114469" w14:textId="63B91A80" w:rsidR="00136E53" w:rsidRPr="0031644F" w:rsidRDefault="00136E53" w:rsidP="003C12D4">
      <w:pPr>
        <w:pStyle w:val="Heading2"/>
      </w:pPr>
      <w:r w:rsidRPr="0031644F">
        <w:t xml:space="preserve">Qualified </w:t>
      </w:r>
      <w:r w:rsidR="00932DEB">
        <w:t>o</w:t>
      </w:r>
      <w:r w:rsidRPr="0031644F">
        <w:t xml:space="preserve">pinion </w:t>
      </w:r>
    </w:p>
    <w:p w14:paraId="297A5F57" w14:textId="0880F5A8" w:rsidR="00136E53" w:rsidRPr="0031644F" w:rsidRDefault="00136E53" w:rsidP="00136E53">
      <w:pPr>
        <w:spacing w:after="120" w:line="240" w:lineRule="auto"/>
        <w:rPr>
          <w:rFonts w:ascii="Calibri" w:hAnsi="Calibri"/>
          <w:sz w:val="22"/>
        </w:rPr>
      </w:pPr>
      <w:r w:rsidRPr="0031644F">
        <w:rPr>
          <w:rFonts w:ascii="Calibri" w:hAnsi="Calibri"/>
          <w:sz w:val="22"/>
        </w:rPr>
        <w:t>In our opinion, except for the matter(s) described in the Basis for Qualified Opinion paragraph, [</w:t>
      </w:r>
      <w:r w:rsidRPr="00922DCB">
        <w:rPr>
          <w:rFonts w:ascii="Calibri" w:hAnsi="Calibri"/>
          <w:b/>
          <w:sz w:val="22"/>
        </w:rPr>
        <w:t>approved provider name</w:t>
      </w:r>
      <w:r w:rsidRPr="0031644F">
        <w:rPr>
          <w:rFonts w:ascii="Calibri" w:hAnsi="Calibri"/>
          <w:sz w:val="22"/>
        </w:rPr>
        <w:t xml:space="preserve">] has complied, in all material respects, with the requirements of Part </w:t>
      </w:r>
      <w:r>
        <w:rPr>
          <w:rFonts w:ascii="Calibri" w:hAnsi="Calibri"/>
          <w:sz w:val="22"/>
        </w:rPr>
        <w:t>5</w:t>
      </w:r>
      <w:r w:rsidR="008F4634">
        <w:rPr>
          <w:rFonts w:ascii="Calibri" w:hAnsi="Calibri"/>
          <w:sz w:val="22"/>
        </w:rPr>
        <w:t>, Part 6,</w:t>
      </w:r>
      <w:r w:rsidR="008C083A">
        <w:rPr>
          <w:rFonts w:ascii="Calibri" w:hAnsi="Calibri"/>
          <w:sz w:val="22"/>
        </w:rPr>
        <w:t xml:space="preserve"> and Part </w:t>
      </w:r>
      <w:r w:rsidR="008F4634">
        <w:rPr>
          <w:rFonts w:ascii="Calibri" w:hAnsi="Calibri"/>
          <w:sz w:val="22"/>
        </w:rPr>
        <w:t>7</w:t>
      </w:r>
      <w:r w:rsidRPr="0031644F">
        <w:rPr>
          <w:rFonts w:ascii="Calibri" w:hAnsi="Calibri"/>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B1565F">
        <w:rPr>
          <w:rFonts w:ascii="Calibri" w:hAnsi="Calibri"/>
          <w:sz w:val="22"/>
        </w:rPr>
        <w:t xml:space="preserve"> (as amended)</w:t>
      </w:r>
      <w:r w:rsidR="00D13902" w:rsidRPr="00DE0A2A" w:rsidDel="00D13902">
        <w:rPr>
          <w:rFonts w:ascii="Calibri" w:hAnsi="Calibri"/>
          <w:bCs/>
          <w:i/>
          <w:iCs/>
          <w:sz w:val="22"/>
        </w:rPr>
        <w:t xml:space="preserve"> </w:t>
      </w:r>
      <w:r w:rsidRPr="0031644F">
        <w:rPr>
          <w:rFonts w:ascii="Calibri" w:hAnsi="Calibri"/>
          <w:sz w:val="22"/>
        </w:rPr>
        <w:t xml:space="preserve">for the </w:t>
      </w:r>
      <w:r w:rsidR="000D5B2E" w:rsidRPr="0031644F">
        <w:rPr>
          <w:rFonts w:ascii="Calibri" w:hAnsi="Calibri"/>
          <w:sz w:val="22"/>
        </w:rPr>
        <w:t xml:space="preserve">period </w:t>
      </w:r>
      <w:r w:rsidR="000D5B2E" w:rsidRPr="0031644F">
        <w:rPr>
          <w:rFonts w:ascii="Calibri" w:hAnsi="Calibri" w:cs="Times New Roman"/>
          <w:color w:val="000000"/>
          <w:sz w:val="22"/>
        </w:rPr>
        <w:t>[</w:t>
      </w:r>
      <w:r w:rsidRPr="003C12D4">
        <w:rPr>
          <w:rStyle w:val="Strong"/>
          <w:highlight w:val="yellow"/>
        </w:rPr>
        <w:t>insert date</w:t>
      </w:r>
      <w:r w:rsidRPr="00CD5716">
        <w:rPr>
          <w:rFonts w:ascii="Calibri" w:hAnsi="Calibri"/>
          <w:sz w:val="22"/>
        </w:rPr>
        <w:t>]</w:t>
      </w:r>
      <w:r>
        <w:rPr>
          <w:rFonts w:ascii="Calibri" w:hAnsi="Calibri"/>
          <w:sz w:val="22"/>
        </w:rPr>
        <w:t xml:space="preserve"> </w:t>
      </w:r>
      <w:r w:rsidR="004E1B47">
        <w:rPr>
          <w:rFonts w:ascii="Calibri" w:hAnsi="Calibri"/>
          <w:sz w:val="22"/>
        </w:rPr>
        <w:t>to</w:t>
      </w:r>
      <w:r w:rsidR="004E1B47" w:rsidRPr="0031644F">
        <w:rPr>
          <w:rFonts w:ascii="Calibri" w:hAnsi="Calibri"/>
          <w:sz w:val="22"/>
        </w:rPr>
        <w:t xml:space="preserve"> [</w:t>
      </w:r>
      <w:r w:rsidRPr="003C12D4">
        <w:rPr>
          <w:rStyle w:val="Strong"/>
          <w:highlight w:val="yellow"/>
        </w:rPr>
        <w:t>insert date</w:t>
      </w:r>
      <w:r w:rsidRPr="0031644F">
        <w:rPr>
          <w:rFonts w:ascii="Calibri" w:hAnsi="Calibri"/>
          <w:sz w:val="22"/>
        </w:rPr>
        <w:t>]</w:t>
      </w:r>
      <w:r w:rsidRPr="0031644F">
        <w:rPr>
          <w:rFonts w:ascii="Calibri" w:hAnsi="Calibri" w:cs="Times New Roman"/>
          <w:color w:val="000000"/>
          <w:sz w:val="22"/>
        </w:rPr>
        <w:t>.</w:t>
      </w:r>
    </w:p>
    <w:p w14:paraId="56A8555C" w14:textId="15FD18ED" w:rsidR="00136E53" w:rsidRPr="0031644F" w:rsidRDefault="00136E53" w:rsidP="003C12D4">
      <w:pPr>
        <w:pStyle w:val="Heading2"/>
      </w:pPr>
      <w:r w:rsidRPr="0031644F">
        <w:t xml:space="preserve">Basis for </w:t>
      </w:r>
      <w:r w:rsidR="00932DEB">
        <w:t>q</w:t>
      </w:r>
      <w:r w:rsidRPr="0031644F">
        <w:t xml:space="preserve">ualified </w:t>
      </w:r>
      <w:r w:rsidR="00932DEB">
        <w:t>o</w:t>
      </w:r>
      <w:r w:rsidRPr="0031644F">
        <w:t xml:space="preserve">pinion </w:t>
      </w:r>
    </w:p>
    <w:p w14:paraId="12DF9293" w14:textId="32167683" w:rsidR="00136E53" w:rsidRPr="0031644F" w:rsidRDefault="00136E53" w:rsidP="00136E53">
      <w:pPr>
        <w:spacing w:after="120" w:line="240" w:lineRule="auto"/>
        <w:rPr>
          <w:rFonts w:ascii="Calibri" w:hAnsi="Calibri"/>
          <w:sz w:val="22"/>
        </w:rPr>
      </w:pPr>
      <w:r w:rsidRPr="0031644F">
        <w:rPr>
          <w:rFonts w:ascii="Calibri" w:hAnsi="Calibri"/>
          <w:sz w:val="22"/>
        </w:rPr>
        <w:t>During the period [</w:t>
      </w:r>
      <w:r w:rsidRPr="003C12D4">
        <w:rPr>
          <w:rStyle w:val="Strong"/>
          <w:highlight w:val="yellow"/>
        </w:rPr>
        <w:t>insert date</w:t>
      </w:r>
      <w:r w:rsidRPr="0031644F">
        <w:rPr>
          <w:rFonts w:ascii="Calibri" w:hAnsi="Calibri"/>
          <w:sz w:val="22"/>
        </w:rPr>
        <w:t>]</w:t>
      </w:r>
      <w:r>
        <w:rPr>
          <w:rFonts w:ascii="Calibri" w:hAnsi="Calibri" w:cs="Times New Roman"/>
          <w:color w:val="000000"/>
          <w:sz w:val="22"/>
        </w:rPr>
        <w:t xml:space="preserve"> </w:t>
      </w:r>
      <w:r w:rsidRPr="0031644F">
        <w:rPr>
          <w:rFonts w:ascii="Calibri" w:hAnsi="Calibri"/>
          <w:sz w:val="22"/>
        </w:rPr>
        <w:t>to [</w:t>
      </w:r>
      <w:r w:rsidRPr="003C12D4">
        <w:rPr>
          <w:rStyle w:val="Strong"/>
          <w:highlight w:val="yellow"/>
        </w:rPr>
        <w:t>insert date</w:t>
      </w:r>
      <w:r w:rsidRPr="0031644F">
        <w:rPr>
          <w:rFonts w:ascii="Calibri" w:hAnsi="Calibri"/>
          <w:sz w:val="22"/>
        </w:rPr>
        <w:t>] [</w:t>
      </w:r>
      <w:r w:rsidRPr="003C12D4">
        <w:rPr>
          <w:rStyle w:val="Strong"/>
        </w:rPr>
        <w:t>approved provider name</w:t>
      </w:r>
      <w:r w:rsidRPr="0031644F">
        <w:rPr>
          <w:rFonts w:ascii="Calibri" w:hAnsi="Calibri"/>
          <w:sz w:val="22"/>
        </w:rPr>
        <w:t>] failed to</w:t>
      </w:r>
      <w:r>
        <w:rPr>
          <w:rFonts w:ascii="Calibri" w:hAnsi="Calibri"/>
          <w:sz w:val="22"/>
        </w:rPr>
        <w:t xml:space="preserve"> comply</w:t>
      </w:r>
      <w:r w:rsidRPr="0031644F">
        <w:rPr>
          <w:rFonts w:ascii="Calibri" w:hAnsi="Calibri"/>
          <w:sz w:val="22"/>
        </w:rPr>
        <w:t xml:space="preserve"> with the Prudential Standard relating to </w:t>
      </w:r>
      <w:proofErr w:type="gramStart"/>
      <w:r w:rsidRPr="0031644F">
        <w:rPr>
          <w:rFonts w:ascii="Calibri" w:hAnsi="Calibri"/>
          <w:sz w:val="22"/>
        </w:rPr>
        <w:t xml:space="preserve">[ </w:t>
      </w:r>
      <w:r w:rsidR="000D5B2E" w:rsidRPr="0031644F">
        <w:rPr>
          <w:rFonts w:ascii="Calibri" w:hAnsi="Calibri"/>
          <w:sz w:val="22"/>
        </w:rPr>
        <w:t xml:space="preserve"> ]</w:t>
      </w:r>
      <w:proofErr w:type="gramEnd"/>
      <w:r w:rsidRPr="0031644F">
        <w:rPr>
          <w:rFonts w:ascii="Calibri" w:hAnsi="Calibri"/>
          <w:sz w:val="22"/>
        </w:rPr>
        <w:t xml:space="preserve"> that included [</w:t>
      </w:r>
      <w:r w:rsidR="000A5DC2" w:rsidRPr="0031644F">
        <w:rPr>
          <w:rFonts w:ascii="Calibri" w:hAnsi="Calibri"/>
          <w:sz w:val="22"/>
        </w:rPr>
        <w:t xml:space="preserve">   </w:t>
      </w:r>
      <w:r w:rsidRPr="0031644F">
        <w:rPr>
          <w:rFonts w:ascii="Calibri" w:hAnsi="Calibri"/>
          <w:sz w:val="22"/>
        </w:rPr>
        <w:t xml:space="preserve">] required by [section] of the </w:t>
      </w:r>
      <w:r w:rsidR="00D13902">
        <w:rPr>
          <w:rFonts w:ascii="Calibri" w:hAnsi="Calibri"/>
          <w:sz w:val="22"/>
        </w:rPr>
        <w:t>Fees and Payments</w:t>
      </w:r>
      <w:r w:rsidR="00D13902" w:rsidRPr="0031644F">
        <w:rPr>
          <w:rFonts w:ascii="Calibri" w:hAnsi="Calibri"/>
          <w:sz w:val="22"/>
        </w:rPr>
        <w:t xml:space="preserve"> Principles</w:t>
      </w:r>
      <w:r w:rsidRPr="0031644F">
        <w:rPr>
          <w:rFonts w:ascii="Calibri" w:hAnsi="Calibri"/>
          <w:sz w:val="22"/>
        </w:rPr>
        <w:t xml:space="preserve">. </w:t>
      </w:r>
    </w:p>
    <w:p w14:paraId="2606D750"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Our opinion above is qualified in respect of the following matter(s): </w:t>
      </w:r>
    </w:p>
    <w:p w14:paraId="6F7EDD98" w14:textId="37BC475D" w:rsidR="00136E53" w:rsidRPr="0031644F" w:rsidRDefault="00136E53" w:rsidP="00136E53">
      <w:pPr>
        <w:pStyle w:val="ListParagraph"/>
        <w:numPr>
          <w:ilvl w:val="0"/>
          <w:numId w:val="1"/>
        </w:numPr>
        <w:spacing w:after="120" w:line="240" w:lineRule="auto"/>
        <w:ind w:left="426" w:hanging="426"/>
        <w:rPr>
          <w:rFonts w:ascii="Calibri" w:hAnsi="Calibri"/>
          <w:sz w:val="22"/>
        </w:rPr>
      </w:pPr>
      <w:r w:rsidRPr="0031644F">
        <w:rPr>
          <w:rFonts w:ascii="Calibri" w:hAnsi="Calibri"/>
          <w:sz w:val="22"/>
        </w:rPr>
        <w:t>During the period [</w:t>
      </w:r>
      <w:r w:rsidRPr="003C12D4">
        <w:rPr>
          <w:rStyle w:val="Strong"/>
          <w:highlight w:val="yellow"/>
        </w:rPr>
        <w:t>insert date</w:t>
      </w:r>
      <w:r w:rsidRPr="0031644F">
        <w:rPr>
          <w:rFonts w:ascii="Calibri" w:hAnsi="Calibri"/>
          <w:sz w:val="22"/>
        </w:rPr>
        <w:t>] to [</w:t>
      </w:r>
      <w:r w:rsidRPr="003C12D4">
        <w:rPr>
          <w:rStyle w:val="Strong"/>
          <w:highlight w:val="yellow"/>
        </w:rPr>
        <w:t>insert date</w:t>
      </w:r>
      <w:r w:rsidRPr="0031644F">
        <w:rPr>
          <w:rFonts w:ascii="Calibri" w:hAnsi="Calibri"/>
          <w:sz w:val="22"/>
        </w:rPr>
        <w:t>], [</w:t>
      </w:r>
      <w:r w:rsidRPr="003C12D4">
        <w:rPr>
          <w:rStyle w:val="Strong"/>
        </w:rPr>
        <w:t>approved provider name</w:t>
      </w:r>
      <w:r w:rsidRPr="0031644F">
        <w:rPr>
          <w:rFonts w:ascii="Calibri" w:hAnsi="Calibri"/>
          <w:sz w:val="22"/>
        </w:rPr>
        <w:t xml:space="preserve">] failed to maintain an accommodation bond register in accordance with </w:t>
      </w:r>
      <w:r w:rsidR="000D5B2E" w:rsidRPr="0031644F">
        <w:rPr>
          <w:rFonts w:ascii="Calibri" w:hAnsi="Calibri"/>
          <w:sz w:val="22"/>
        </w:rPr>
        <w:t>the Prudential</w:t>
      </w:r>
      <w:r w:rsidRPr="0031644F">
        <w:rPr>
          <w:rFonts w:ascii="Calibri" w:hAnsi="Calibri"/>
          <w:sz w:val="22"/>
        </w:rPr>
        <w:t xml:space="preserve"> Standard relating to records that included all data required by section </w:t>
      </w:r>
      <w:r>
        <w:rPr>
          <w:rFonts w:ascii="Calibri" w:hAnsi="Calibri"/>
          <w:sz w:val="22"/>
        </w:rPr>
        <w:t>46</w:t>
      </w:r>
      <w:r w:rsidRPr="0031644F">
        <w:rPr>
          <w:rFonts w:ascii="Calibri" w:hAnsi="Calibri"/>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D13902" w:rsidRPr="00DE0A2A" w:rsidDel="00D13902">
        <w:rPr>
          <w:rFonts w:ascii="Calibri" w:hAnsi="Calibri"/>
          <w:bCs/>
          <w:i/>
          <w:iCs/>
          <w:sz w:val="22"/>
        </w:rPr>
        <w:t xml:space="preserve"> </w:t>
      </w:r>
      <w:r w:rsidRPr="0031644F">
        <w:rPr>
          <w:rFonts w:ascii="Calibri" w:hAnsi="Calibri"/>
          <w:sz w:val="22"/>
        </w:rPr>
        <w:t xml:space="preserve">for </w:t>
      </w:r>
      <w:r>
        <w:rPr>
          <w:rFonts w:ascii="Calibri" w:hAnsi="Calibri"/>
          <w:sz w:val="22"/>
        </w:rPr>
        <w:t xml:space="preserve">refundable deposits, </w:t>
      </w:r>
      <w:r w:rsidRPr="0031644F">
        <w:rPr>
          <w:rFonts w:ascii="Calibri" w:hAnsi="Calibri"/>
          <w:sz w:val="22"/>
        </w:rPr>
        <w:t xml:space="preserve">accommodation bonds and entry contributions. </w:t>
      </w:r>
    </w:p>
    <w:p w14:paraId="7107FFA2" w14:textId="77777777" w:rsidR="00136E53" w:rsidRPr="0031644F" w:rsidRDefault="00136E53" w:rsidP="00136E53">
      <w:pPr>
        <w:pStyle w:val="ListParagraph"/>
        <w:numPr>
          <w:ilvl w:val="0"/>
          <w:numId w:val="1"/>
        </w:numPr>
        <w:spacing w:after="120" w:line="240" w:lineRule="auto"/>
        <w:ind w:left="426" w:hanging="426"/>
        <w:rPr>
          <w:rFonts w:ascii="Calibri" w:hAnsi="Calibri"/>
          <w:sz w:val="22"/>
        </w:rPr>
      </w:pPr>
      <w:r w:rsidRPr="0031644F">
        <w:rPr>
          <w:rFonts w:ascii="Calibri" w:hAnsi="Calibri"/>
          <w:sz w:val="22"/>
        </w:rPr>
        <w:t xml:space="preserve">… </w:t>
      </w:r>
    </w:p>
    <w:p w14:paraId="5AE6EDF3" w14:textId="77777777" w:rsidR="00136E53" w:rsidRPr="0031644F" w:rsidRDefault="00136E53" w:rsidP="00136E53">
      <w:pPr>
        <w:spacing w:after="120" w:line="240" w:lineRule="auto"/>
        <w:rPr>
          <w:rFonts w:ascii="Calibri" w:hAnsi="Calibri"/>
          <w:sz w:val="22"/>
        </w:rPr>
      </w:pPr>
      <w:r w:rsidRPr="0031644F">
        <w:rPr>
          <w:rFonts w:ascii="Calibri" w:hAnsi="Calibri"/>
          <w:sz w:val="22"/>
        </w:rPr>
        <w:t>Our opinion above is not modified in respect of the following matter(s) because, in our opinion, it/they has/have been appropriately addressed by [</w:t>
      </w:r>
      <w:r w:rsidRPr="003C12D4">
        <w:rPr>
          <w:rStyle w:val="Strong"/>
        </w:rPr>
        <w:t>approved provider name</w:t>
      </w:r>
      <w:r w:rsidRPr="0031644F">
        <w:rPr>
          <w:rFonts w:ascii="Calibri" w:hAnsi="Calibri"/>
          <w:sz w:val="22"/>
        </w:rPr>
        <w:t xml:space="preserve">] and is/are not considered material, either individually, or taken as a whole, in the context of the engagement: </w:t>
      </w:r>
    </w:p>
    <w:p w14:paraId="6843661B" w14:textId="77777777" w:rsidR="00136E53" w:rsidRPr="0031644F" w:rsidRDefault="00136E53" w:rsidP="00136E53">
      <w:pPr>
        <w:pStyle w:val="ListParagraph"/>
        <w:numPr>
          <w:ilvl w:val="0"/>
          <w:numId w:val="3"/>
        </w:numPr>
        <w:spacing w:after="120" w:line="240" w:lineRule="auto"/>
        <w:ind w:left="426" w:hanging="426"/>
        <w:rPr>
          <w:rFonts w:ascii="Calibri" w:hAnsi="Calibri"/>
          <w:sz w:val="22"/>
        </w:rPr>
      </w:pPr>
      <w:r w:rsidRPr="0031644F">
        <w:rPr>
          <w:rFonts w:ascii="Calibri" w:hAnsi="Calibri"/>
          <w:sz w:val="22"/>
        </w:rPr>
        <w:t xml:space="preserve">The approved provider failed to refund one </w:t>
      </w:r>
      <w:r>
        <w:rPr>
          <w:rFonts w:ascii="Calibri" w:hAnsi="Calibri"/>
          <w:sz w:val="22"/>
        </w:rPr>
        <w:t>refundable deposit</w:t>
      </w:r>
      <w:r w:rsidRPr="0031644F">
        <w:rPr>
          <w:rFonts w:ascii="Calibri" w:hAnsi="Calibri"/>
          <w:sz w:val="22"/>
        </w:rPr>
        <w:t xml:space="preserve"> within the legislated timeframe. </w:t>
      </w:r>
    </w:p>
    <w:p w14:paraId="7CB10A0C" w14:textId="77777777" w:rsidR="00136E53" w:rsidRPr="00353D1A" w:rsidRDefault="00136E53" w:rsidP="00136E53">
      <w:pPr>
        <w:pStyle w:val="ListParagraph"/>
        <w:numPr>
          <w:ilvl w:val="0"/>
          <w:numId w:val="3"/>
        </w:numPr>
        <w:spacing w:after="120" w:line="240" w:lineRule="auto"/>
        <w:ind w:left="426" w:hanging="426"/>
        <w:rPr>
          <w:rFonts w:ascii="Calibri" w:hAnsi="Calibri"/>
          <w:sz w:val="22"/>
        </w:rPr>
      </w:pPr>
      <w:r w:rsidRPr="0031644F">
        <w:rPr>
          <w:rFonts w:ascii="Calibri" w:hAnsi="Calibri"/>
          <w:sz w:val="22"/>
        </w:rPr>
        <w:t>…</w:t>
      </w:r>
    </w:p>
    <w:p w14:paraId="2EDB724F" w14:textId="6D314B85" w:rsidR="00136E53" w:rsidRPr="0031644F" w:rsidRDefault="00136E53" w:rsidP="003C12D4">
      <w:pPr>
        <w:pStyle w:val="Heading2"/>
      </w:pPr>
      <w:r w:rsidRPr="0031644F">
        <w:t xml:space="preserve">Directors’ [Responsible Party]’s </w:t>
      </w:r>
      <w:r w:rsidR="00932DEB">
        <w:t>r</w:t>
      </w:r>
      <w:r w:rsidRPr="0031644F">
        <w:t xml:space="preserve">esponsibility </w:t>
      </w:r>
    </w:p>
    <w:p w14:paraId="33BD1598" w14:textId="6E4048C6" w:rsidR="00136E53" w:rsidRPr="0031644F" w:rsidRDefault="00136E53" w:rsidP="00136E53">
      <w:pPr>
        <w:spacing w:after="120" w:line="240" w:lineRule="auto"/>
        <w:rPr>
          <w:rFonts w:ascii="Calibri" w:hAnsi="Calibri"/>
          <w:sz w:val="22"/>
        </w:rPr>
      </w:pPr>
      <w:r w:rsidRPr="0031644F">
        <w:rPr>
          <w:rFonts w:ascii="Calibri" w:hAnsi="Calibri"/>
          <w:sz w:val="22"/>
        </w:rPr>
        <w:t>The directors [</w:t>
      </w:r>
      <w:r w:rsidRPr="003C12D4">
        <w:rPr>
          <w:rStyle w:val="Strong"/>
        </w:rPr>
        <w:t>Responsible Party</w:t>
      </w:r>
      <w:r w:rsidRPr="0031644F">
        <w:rPr>
          <w:rFonts w:ascii="Calibri" w:hAnsi="Calibri"/>
          <w:sz w:val="22"/>
        </w:rPr>
        <w:t>] of [</w:t>
      </w:r>
      <w:r w:rsidRPr="003C12D4">
        <w:rPr>
          <w:rStyle w:val="IntenseEmphasis"/>
        </w:rPr>
        <w:t>approved provider name</w:t>
      </w:r>
      <w:r w:rsidRPr="00922DCB">
        <w:rPr>
          <w:rFonts w:ascii="Calibri" w:hAnsi="Calibri"/>
          <w:b/>
          <w:sz w:val="22"/>
        </w:rPr>
        <w:t>]</w:t>
      </w:r>
      <w:r w:rsidRPr="0031644F">
        <w:rPr>
          <w:rFonts w:ascii="Calibri" w:hAnsi="Calibri"/>
          <w:sz w:val="22"/>
        </w:rPr>
        <w:t xml:space="preserve"> are/is responsible for compliance with the Act</w:t>
      </w:r>
      <w:r w:rsidR="00D13902">
        <w:rPr>
          <w:rFonts w:ascii="Calibri" w:hAnsi="Calibri"/>
          <w:i/>
          <w:sz w:val="22"/>
        </w:rPr>
        <w:t xml:space="preserve"> </w:t>
      </w:r>
      <w:r w:rsidR="00901583">
        <w:rPr>
          <w:rFonts w:ascii="Calibri" w:hAnsi="Calibri"/>
          <w:sz w:val="22"/>
        </w:rPr>
        <w:t xml:space="preserve">Fees and Payments Principles </w:t>
      </w:r>
      <w:r w:rsidRPr="0031644F">
        <w:rPr>
          <w:rFonts w:ascii="Calibri" w:hAnsi="Calibri"/>
          <w:sz w:val="22"/>
        </w:rPr>
        <w:t>and for such internal control as the directors [</w:t>
      </w:r>
      <w:r w:rsidRPr="00922DCB">
        <w:rPr>
          <w:rFonts w:ascii="Calibri" w:hAnsi="Calibri"/>
          <w:b/>
          <w:sz w:val="22"/>
        </w:rPr>
        <w:t>Responsible Party</w:t>
      </w:r>
      <w:r w:rsidRPr="0031644F">
        <w:rPr>
          <w:rFonts w:ascii="Calibri" w:hAnsi="Calibri"/>
          <w:sz w:val="22"/>
        </w:rPr>
        <w:t xml:space="preserve">] determine is necessary for compliance with the Act and the </w:t>
      </w:r>
      <w:r>
        <w:rPr>
          <w:rFonts w:ascii="Calibri" w:hAnsi="Calibri"/>
          <w:sz w:val="22"/>
        </w:rPr>
        <w:t>Fees and Payments</w:t>
      </w:r>
      <w:r w:rsidRPr="0031644F">
        <w:rPr>
          <w:rFonts w:ascii="Calibri" w:hAnsi="Calibri"/>
          <w:sz w:val="22"/>
        </w:rPr>
        <w:t xml:space="preserve"> Principles. The responsibilities of the directors [</w:t>
      </w:r>
      <w:r w:rsidRPr="003C12D4">
        <w:rPr>
          <w:rStyle w:val="Strong"/>
        </w:rPr>
        <w:t>Responsible Party</w:t>
      </w:r>
      <w:r w:rsidRPr="0031644F">
        <w:rPr>
          <w:rFonts w:ascii="Calibri" w:hAnsi="Calibri"/>
          <w:sz w:val="22"/>
        </w:rPr>
        <w:t xml:space="preserve">] include requirements under the Act and the </w:t>
      </w:r>
      <w:r>
        <w:rPr>
          <w:rFonts w:ascii="Calibri" w:hAnsi="Calibri"/>
          <w:sz w:val="22"/>
        </w:rPr>
        <w:t>Fees and Payments</w:t>
      </w:r>
      <w:r w:rsidRPr="0031644F">
        <w:rPr>
          <w:rFonts w:ascii="Calibri" w:hAnsi="Calibri"/>
          <w:sz w:val="22"/>
        </w:rPr>
        <w:t xml:space="preserve"> Principles for the preparation and presentation of the Annual Prudential Compliance Statement (APCS) and compliance with the Prudential Standards contained within the </w:t>
      </w:r>
      <w:r>
        <w:rPr>
          <w:rFonts w:ascii="Calibri" w:hAnsi="Calibri"/>
          <w:sz w:val="22"/>
        </w:rPr>
        <w:t>Fees and Payments Principles</w:t>
      </w:r>
      <w:r w:rsidRPr="0031644F">
        <w:rPr>
          <w:rFonts w:ascii="Calibri" w:hAnsi="Calibri"/>
          <w:sz w:val="22"/>
        </w:rPr>
        <w:t xml:space="preserve">.  </w:t>
      </w:r>
    </w:p>
    <w:p w14:paraId="77F23A56" w14:textId="24AF8555" w:rsidR="00136E53" w:rsidRPr="0031644F" w:rsidRDefault="00136E53" w:rsidP="003C12D4">
      <w:pPr>
        <w:pStyle w:val="Heading2"/>
      </w:pPr>
      <w:r w:rsidRPr="0031644F">
        <w:t xml:space="preserve">Auditor’s </w:t>
      </w:r>
      <w:r w:rsidR="00932DEB">
        <w:t>r</w:t>
      </w:r>
      <w:r w:rsidRPr="0031644F">
        <w:t xml:space="preserve">esponsibility </w:t>
      </w:r>
    </w:p>
    <w:p w14:paraId="22B4F872" w14:textId="77777777" w:rsidR="00136E53" w:rsidRPr="0031644F" w:rsidRDefault="00136E53" w:rsidP="00136E53">
      <w:pPr>
        <w:spacing w:after="120" w:line="240" w:lineRule="auto"/>
        <w:rPr>
          <w:rFonts w:ascii="Calibri" w:hAnsi="Calibri"/>
          <w:sz w:val="22"/>
        </w:rPr>
      </w:pPr>
      <w:r w:rsidRPr="0031644F">
        <w:rPr>
          <w:rFonts w:ascii="Calibri" w:hAnsi="Calibri"/>
          <w:sz w:val="22"/>
        </w:rPr>
        <w:t>Our responsibility is to form and express an opinion on [</w:t>
      </w:r>
      <w:r w:rsidRPr="003C12D4">
        <w:rPr>
          <w:rStyle w:val="Strong"/>
        </w:rPr>
        <w:t>approved provider name</w:t>
      </w:r>
      <w:r w:rsidRPr="0031644F">
        <w:rPr>
          <w:rFonts w:ascii="Calibri" w:hAnsi="Calibri"/>
          <w:sz w:val="22"/>
        </w:rPr>
        <w:t xml:space="preserve">]’s compliance with the matters reported on in the Annual Prudential Compliance Statement. </w:t>
      </w:r>
    </w:p>
    <w:p w14:paraId="13ABE2FE" w14:textId="098C7C7E" w:rsidR="00136E53" w:rsidRPr="00DE6801" w:rsidRDefault="00136E53" w:rsidP="00136E53">
      <w:pPr>
        <w:spacing w:after="120" w:line="240" w:lineRule="auto"/>
        <w:rPr>
          <w:rFonts w:ascii="Calibri" w:hAnsi="Calibri"/>
          <w:sz w:val="22"/>
        </w:rPr>
      </w:pPr>
      <w:r w:rsidRPr="0031644F">
        <w:rPr>
          <w:rFonts w:ascii="Calibri" w:hAnsi="Calibri"/>
          <w:sz w:val="22"/>
        </w:rPr>
        <w:t>Our audit has been conducted in accordance with the applicable Standards on Assurance Engagements (ASAE 3100</w:t>
      </w:r>
      <w:r w:rsidRPr="0031644F">
        <w:rPr>
          <w:rFonts w:ascii="Calibri" w:hAnsi="Calibri"/>
          <w:i/>
          <w:sz w:val="22"/>
        </w:rPr>
        <w:t xml:space="preserve"> </w:t>
      </w:r>
      <w:r w:rsidRPr="00932DEB">
        <w:rPr>
          <w:rStyle w:val="Emphasis"/>
          <w:i w:val="0"/>
        </w:rPr>
        <w:t>Compliance Engagements</w:t>
      </w:r>
      <w:r w:rsidRPr="0031644F">
        <w:rPr>
          <w:rFonts w:ascii="Calibri" w:hAnsi="Calibri"/>
          <w:sz w:val="22"/>
        </w:rPr>
        <w:t xml:space="preserve">), issued by the Auditing and Assurance Standards Board and with the requirements of </w:t>
      </w:r>
      <w:r w:rsidR="00B369D4" w:rsidRPr="00B369D4">
        <w:rPr>
          <w:rFonts w:ascii="Calibri" w:hAnsi="Calibri"/>
          <w:sz w:val="22"/>
        </w:rPr>
        <w:t xml:space="preserve">the Department of Health and Aged Care </w:t>
      </w:r>
      <w:r w:rsidRPr="0031644F">
        <w:rPr>
          <w:rFonts w:ascii="Calibri" w:hAnsi="Calibri"/>
          <w:sz w:val="22"/>
        </w:rPr>
        <w:t xml:space="preserve">as set out in the </w:t>
      </w:r>
      <w:r w:rsidR="008E71C6" w:rsidRPr="008E71C6">
        <w:rPr>
          <w:rFonts w:ascii="Calibri" w:hAnsi="Calibri"/>
          <w:sz w:val="22"/>
        </w:rPr>
        <w:t>Guide to audit of an approved provider’s compliance with the prudential requirements</w:t>
      </w:r>
      <w:r w:rsidRPr="0031644F">
        <w:rPr>
          <w:rFonts w:ascii="Calibri" w:hAnsi="Calibri"/>
          <w:sz w:val="22"/>
        </w:rPr>
        <w:t xml:space="preserve"> (the Guide).  Our audit has been conducted to provide reasonable assurance that the [</w:t>
      </w:r>
      <w:r w:rsidRPr="003C12D4">
        <w:rPr>
          <w:rStyle w:val="Strong"/>
        </w:rPr>
        <w:t>approved provider name</w:t>
      </w:r>
      <w:r w:rsidRPr="0031644F">
        <w:rPr>
          <w:rFonts w:ascii="Calibri" w:hAnsi="Calibri"/>
          <w:sz w:val="22"/>
        </w:rPr>
        <w:t xml:space="preserve">] has complied with the requirements of Part </w:t>
      </w:r>
      <w:r>
        <w:rPr>
          <w:rFonts w:ascii="Calibri" w:hAnsi="Calibri"/>
          <w:sz w:val="22"/>
        </w:rPr>
        <w:t>5</w:t>
      </w:r>
      <w:r w:rsidR="008F4634">
        <w:rPr>
          <w:rFonts w:ascii="Calibri" w:hAnsi="Calibri"/>
          <w:sz w:val="22"/>
        </w:rPr>
        <w:t>, Part 6,</w:t>
      </w:r>
      <w:r w:rsidRPr="0031644F">
        <w:rPr>
          <w:rFonts w:ascii="Calibri" w:hAnsi="Calibri"/>
          <w:sz w:val="22"/>
        </w:rPr>
        <w:t xml:space="preserve"> </w:t>
      </w:r>
      <w:r w:rsidR="008C083A">
        <w:rPr>
          <w:rFonts w:ascii="Calibri" w:hAnsi="Calibri"/>
          <w:sz w:val="22"/>
        </w:rPr>
        <w:t xml:space="preserve">and Part </w:t>
      </w:r>
      <w:r w:rsidR="008F4634">
        <w:rPr>
          <w:rFonts w:ascii="Calibri" w:hAnsi="Calibri"/>
          <w:sz w:val="22"/>
        </w:rPr>
        <w:t>7</w:t>
      </w:r>
      <w:r w:rsidR="008C083A">
        <w:rPr>
          <w:rFonts w:ascii="Calibri" w:hAnsi="Calibri"/>
          <w:sz w:val="22"/>
        </w:rPr>
        <w:t xml:space="preserve"> </w:t>
      </w:r>
      <w:r w:rsidRPr="0031644F">
        <w:rPr>
          <w:rFonts w:ascii="Calibri" w:hAnsi="Calibri"/>
          <w:sz w:val="22"/>
        </w:rPr>
        <w:t xml:space="preserve">of the </w:t>
      </w:r>
      <w:r>
        <w:rPr>
          <w:rFonts w:ascii="Calibri" w:hAnsi="Calibri"/>
          <w:sz w:val="22"/>
        </w:rPr>
        <w:t>Fees and Payments Principles</w:t>
      </w:r>
      <w:r w:rsidRPr="0031644F">
        <w:rPr>
          <w:rFonts w:ascii="Calibri" w:hAnsi="Calibri"/>
          <w:sz w:val="22"/>
        </w:rPr>
        <w:t xml:space="preserve">. ASAE 3100 requires that we comply with relevant ethical requirements.  </w:t>
      </w:r>
    </w:p>
    <w:p w14:paraId="442FD8E1" w14:textId="7CEBB9A0" w:rsidR="00136E53" w:rsidRPr="0031644F" w:rsidRDefault="00136E53" w:rsidP="00136E53">
      <w:pPr>
        <w:spacing w:after="120" w:line="240" w:lineRule="auto"/>
        <w:rPr>
          <w:rFonts w:ascii="Calibri" w:hAnsi="Calibri"/>
          <w:sz w:val="22"/>
        </w:rPr>
      </w:pPr>
      <w:r w:rsidRPr="0031644F">
        <w:rPr>
          <w:rFonts w:ascii="Calibri" w:hAnsi="Calibri"/>
          <w:sz w:val="22"/>
        </w:rPr>
        <w:lastRenderedPageBreak/>
        <w:t>Audit procedures selected depend on the auditor’s judgement.  The auditor designs procedures that are appropriate in the circumstances and incorporate the audit scope requirements set out in the Guide.  The audit procedures have been undertaken to form an opinion on compliance of [</w:t>
      </w:r>
      <w:r w:rsidRPr="00922DCB">
        <w:rPr>
          <w:rFonts w:ascii="Calibri" w:hAnsi="Calibri"/>
          <w:b/>
          <w:sz w:val="22"/>
        </w:rPr>
        <w:t>approved provider name</w:t>
      </w:r>
      <w:r w:rsidRPr="0031644F">
        <w:rPr>
          <w:rFonts w:ascii="Calibri" w:hAnsi="Calibri"/>
          <w:sz w:val="22"/>
        </w:rPr>
        <w:t xml:space="preserve">] Part </w:t>
      </w:r>
      <w:r>
        <w:rPr>
          <w:rFonts w:ascii="Calibri" w:hAnsi="Calibri"/>
          <w:sz w:val="22"/>
        </w:rPr>
        <w:t>5</w:t>
      </w:r>
      <w:r w:rsidR="008F4634">
        <w:rPr>
          <w:rFonts w:ascii="Calibri" w:hAnsi="Calibri"/>
          <w:sz w:val="22"/>
        </w:rPr>
        <w:t>, Part 6,</w:t>
      </w:r>
      <w:r w:rsidRPr="0031644F">
        <w:rPr>
          <w:rFonts w:ascii="Calibri" w:hAnsi="Calibri"/>
          <w:sz w:val="22"/>
        </w:rPr>
        <w:t xml:space="preserve"> </w:t>
      </w:r>
      <w:r w:rsidR="008C083A">
        <w:rPr>
          <w:rFonts w:ascii="Calibri" w:hAnsi="Calibri"/>
          <w:sz w:val="22"/>
        </w:rPr>
        <w:t xml:space="preserve">and Part </w:t>
      </w:r>
      <w:r w:rsidR="008F4634">
        <w:rPr>
          <w:rFonts w:ascii="Calibri" w:hAnsi="Calibri"/>
          <w:sz w:val="22"/>
        </w:rPr>
        <w:t>7</w:t>
      </w:r>
      <w:r w:rsidR="008C083A">
        <w:rPr>
          <w:rFonts w:ascii="Calibri" w:hAnsi="Calibri"/>
          <w:sz w:val="22"/>
        </w:rPr>
        <w:t xml:space="preserve"> </w:t>
      </w:r>
      <w:r w:rsidRPr="0031644F">
        <w:rPr>
          <w:rFonts w:ascii="Calibri" w:hAnsi="Calibri"/>
          <w:sz w:val="22"/>
        </w:rPr>
        <w:t xml:space="preserve">of the </w:t>
      </w:r>
      <w:r>
        <w:rPr>
          <w:rFonts w:ascii="Calibri" w:hAnsi="Calibri"/>
          <w:sz w:val="22"/>
        </w:rPr>
        <w:t>Fees and Payments Principles</w:t>
      </w:r>
      <w:r w:rsidRPr="0031644F">
        <w:rPr>
          <w:rFonts w:ascii="Calibri" w:hAnsi="Calibri"/>
          <w:sz w:val="22"/>
        </w:rPr>
        <w:t xml:space="preserve">.  Audit procedures include obtaining evidence relating to </w:t>
      </w:r>
      <w:r>
        <w:rPr>
          <w:rFonts w:ascii="Calibri" w:hAnsi="Calibri"/>
          <w:sz w:val="22"/>
        </w:rPr>
        <w:t xml:space="preserve">refundable deposits, </w:t>
      </w:r>
      <w:r w:rsidRPr="0031644F">
        <w:rPr>
          <w:rFonts w:ascii="Calibri" w:hAnsi="Calibri"/>
          <w:sz w:val="22"/>
        </w:rPr>
        <w:t xml:space="preserve">accommodation bonds and entry contributions held; refunds of </w:t>
      </w:r>
      <w:r>
        <w:rPr>
          <w:rFonts w:ascii="Calibri" w:hAnsi="Calibri"/>
          <w:sz w:val="22"/>
        </w:rPr>
        <w:t xml:space="preserve">refundable deposits, </w:t>
      </w:r>
      <w:r w:rsidRPr="0031644F">
        <w:rPr>
          <w:rFonts w:ascii="Calibri" w:hAnsi="Calibri"/>
          <w:sz w:val="22"/>
        </w:rPr>
        <w:t xml:space="preserve">accommodation bond balances and entry contribution balances; limits on charging accommodation bonds; compliance with the Prudential Standards relating to liquidity, records, governance and disclosure; and use of </w:t>
      </w:r>
      <w:r>
        <w:rPr>
          <w:rFonts w:ascii="Calibri" w:hAnsi="Calibri"/>
          <w:sz w:val="22"/>
        </w:rPr>
        <w:t xml:space="preserve">refundable deposits and </w:t>
      </w:r>
      <w:r w:rsidRPr="0031644F">
        <w:rPr>
          <w:rFonts w:ascii="Calibri" w:hAnsi="Calibri"/>
          <w:sz w:val="22"/>
        </w:rPr>
        <w:t>accommodation bonds.</w:t>
      </w:r>
    </w:p>
    <w:p w14:paraId="7AA008D3" w14:textId="684FBBDE" w:rsidR="00136E53" w:rsidRPr="0031644F" w:rsidRDefault="00136E53" w:rsidP="003C12D4">
      <w:pPr>
        <w:pStyle w:val="Heading2"/>
      </w:pPr>
      <w:r w:rsidRPr="0031644F">
        <w:t xml:space="preserve">Use of </w:t>
      </w:r>
      <w:r w:rsidR="00932DEB">
        <w:t>r</w:t>
      </w:r>
      <w:r w:rsidRPr="0031644F">
        <w:t xml:space="preserve">eport and </w:t>
      </w:r>
      <w:r w:rsidR="00932DEB">
        <w:t>r</w:t>
      </w:r>
      <w:r w:rsidRPr="0031644F">
        <w:t xml:space="preserve">estriction on </w:t>
      </w:r>
      <w:r w:rsidR="00932DEB">
        <w:t>d</w:t>
      </w:r>
      <w:r w:rsidRPr="0031644F">
        <w:t xml:space="preserve">istribution </w:t>
      </w:r>
    </w:p>
    <w:p w14:paraId="687F85BB" w14:textId="6E592DD5" w:rsidR="00136E53" w:rsidRPr="0031644F" w:rsidRDefault="00136E53" w:rsidP="00136E53">
      <w:pPr>
        <w:spacing w:after="120" w:line="240" w:lineRule="auto"/>
        <w:rPr>
          <w:rFonts w:ascii="Calibri" w:hAnsi="Calibri"/>
          <w:sz w:val="22"/>
        </w:rPr>
      </w:pPr>
      <w:r w:rsidRPr="0031644F">
        <w:rPr>
          <w:rFonts w:ascii="Calibri" w:hAnsi="Calibri"/>
          <w:sz w:val="22"/>
        </w:rPr>
        <w:t>This auditor’s report has been prepared for the directors [</w:t>
      </w:r>
      <w:r w:rsidRPr="003C12D4">
        <w:rPr>
          <w:rStyle w:val="Strong"/>
        </w:rPr>
        <w:t>Responsible Party</w:t>
      </w:r>
      <w:r w:rsidRPr="0031644F">
        <w:rPr>
          <w:rFonts w:ascii="Calibri" w:hAnsi="Calibri"/>
          <w:sz w:val="22"/>
        </w:rPr>
        <w:t>]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 xml:space="preserve">the Department of Health and Aged Care </w:t>
      </w:r>
      <w:r w:rsidRPr="0031644F">
        <w:rPr>
          <w:rFonts w:ascii="Calibri" w:hAnsi="Calibri"/>
          <w:sz w:val="22"/>
        </w:rPr>
        <w:t xml:space="preserve">for the purpose of fulfilling the requirements of the </w:t>
      </w:r>
      <w:r>
        <w:rPr>
          <w:rFonts w:ascii="Calibri" w:hAnsi="Calibri"/>
          <w:sz w:val="22"/>
        </w:rPr>
        <w:t>Disclosure Standard</w:t>
      </w:r>
      <w:r w:rsidRPr="0031644F">
        <w:rPr>
          <w:rFonts w:ascii="Calibri" w:hAnsi="Calibri"/>
          <w:sz w:val="22"/>
        </w:rPr>
        <w:t>.  We disclaim any assumption of responsibility for any reliance on this report to any persons or users other than the directors [</w:t>
      </w:r>
      <w:r w:rsidRPr="003C12D4">
        <w:rPr>
          <w:rStyle w:val="Strong"/>
        </w:rPr>
        <w:t>Responsible Party</w:t>
      </w:r>
      <w:r w:rsidRPr="0031644F">
        <w:rPr>
          <w:rFonts w:ascii="Calibri" w:hAnsi="Calibri"/>
          <w:sz w:val="22"/>
        </w:rPr>
        <w:t xml:space="preserve">] and the Secretary of </w:t>
      </w:r>
      <w:r w:rsidR="00B369D4" w:rsidRPr="00B369D4">
        <w:rPr>
          <w:rFonts w:ascii="Calibri" w:hAnsi="Calibri"/>
          <w:sz w:val="22"/>
        </w:rPr>
        <w:t>the Dep</w:t>
      </w:r>
      <w:r w:rsidR="00B369D4">
        <w:rPr>
          <w:rFonts w:ascii="Calibri" w:hAnsi="Calibri"/>
          <w:sz w:val="22"/>
        </w:rPr>
        <w:t>artment of Health and Aged Care</w:t>
      </w:r>
      <w:r w:rsidRPr="0031644F">
        <w:rPr>
          <w:rFonts w:ascii="Calibri" w:hAnsi="Calibri"/>
          <w:sz w:val="22"/>
        </w:rPr>
        <w:t>, or for any purpose other than that for which it was prepared.  Our report is intended for the directors [</w:t>
      </w:r>
      <w:r w:rsidRPr="003C12D4">
        <w:rPr>
          <w:rStyle w:val="Strong"/>
        </w:rPr>
        <w:t>Responsible Party</w:t>
      </w:r>
      <w:r w:rsidRPr="0031644F">
        <w:rPr>
          <w:rFonts w:ascii="Calibri" w:hAnsi="Calibri"/>
          <w:sz w:val="22"/>
        </w:rPr>
        <w:t>]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the Dep</w:t>
      </w:r>
      <w:r w:rsidR="00B369D4">
        <w:rPr>
          <w:rFonts w:ascii="Calibri" w:hAnsi="Calibri"/>
          <w:sz w:val="22"/>
        </w:rPr>
        <w:t>artment of Health and Aged Care</w:t>
      </w:r>
      <w:r w:rsidRPr="0031644F">
        <w:rPr>
          <w:rFonts w:ascii="Calibri" w:hAnsi="Calibri"/>
          <w:sz w:val="22"/>
        </w:rPr>
        <w:t xml:space="preserve"> and should not be distributed to other parties. </w:t>
      </w:r>
    </w:p>
    <w:p w14:paraId="7F3A332B" w14:textId="55E71102" w:rsidR="00136E53" w:rsidRPr="00B03D4B" w:rsidRDefault="00136E53" w:rsidP="003C12D4">
      <w:pPr>
        <w:pStyle w:val="Heading2"/>
      </w:pPr>
      <w:r w:rsidRPr="0031644F">
        <w:t xml:space="preserve">Inherent </w:t>
      </w:r>
      <w:r w:rsidR="00932DEB">
        <w:t>l</w:t>
      </w:r>
      <w:r w:rsidRPr="0031644F">
        <w:t xml:space="preserve">imitations </w:t>
      </w:r>
    </w:p>
    <w:p w14:paraId="76C9E976" w14:textId="77777777" w:rsidR="000A5DC2" w:rsidRDefault="00136E53" w:rsidP="00136E53">
      <w:pPr>
        <w:spacing w:after="120" w:line="240" w:lineRule="auto"/>
        <w:rPr>
          <w:rFonts w:ascii="Calibri" w:hAnsi="Calibri"/>
          <w:sz w:val="22"/>
        </w:rPr>
      </w:pPr>
      <w:r w:rsidRPr="0031644F">
        <w:rPr>
          <w:rFonts w:ascii="Calibri" w:hAnsi="Calibri"/>
          <w:sz w:val="22"/>
        </w:rPr>
        <w:t xml:space="preserve">Because of the inherent limitations of any compliance procedures, it is possible that fraud, error or non-compliance may occur and not be detected.  An audit is not designed to detect all instances of non-compliance with the requirements of the Act and </w:t>
      </w:r>
      <w:r w:rsidR="00F40632">
        <w:rPr>
          <w:rFonts w:ascii="Calibri" w:hAnsi="Calibri"/>
          <w:sz w:val="22"/>
        </w:rPr>
        <w:t>Fees and Payments Principles</w:t>
      </w:r>
      <w:r w:rsidRPr="0031644F">
        <w:rPr>
          <w:rFonts w:ascii="Calibri" w:hAnsi="Calibri"/>
          <w:sz w:val="22"/>
        </w:rPr>
        <w:t>, as the audit procedures are not performed continuously throughout the year and are undertaken on a test basis.</w:t>
      </w:r>
    </w:p>
    <w:p w14:paraId="3B0E42FD"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The auditor’s opinion expressed in this report has been formed on the above basis. </w:t>
      </w:r>
    </w:p>
    <w:p w14:paraId="2D2CA5C6"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[Auditor’s signature]  </w:t>
      </w:r>
    </w:p>
    <w:p w14:paraId="24E069CF"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[Date of the Auditor’s Report] </w:t>
      </w:r>
    </w:p>
    <w:p w14:paraId="5047EB9C"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[Auditor’s Address] </w:t>
      </w:r>
    </w:p>
    <w:p w14:paraId="7226AF76" w14:textId="77777777" w:rsidR="007F4E20" w:rsidRPr="007A33D3" w:rsidRDefault="00136E53" w:rsidP="00136E53">
      <w:pPr>
        <w:spacing w:after="120" w:line="240" w:lineRule="auto"/>
        <w:rPr>
          <w:rFonts w:ascii="Calibri" w:hAnsi="Calibri"/>
          <w:sz w:val="22"/>
        </w:rPr>
      </w:pPr>
      <w:r w:rsidRPr="007A33D3">
        <w:rPr>
          <w:rFonts w:ascii="Calibri" w:hAnsi="Calibri"/>
          <w:sz w:val="22"/>
        </w:rPr>
        <w:t xml:space="preserve">[Auditor’s registration number] </w:t>
      </w:r>
    </w:p>
    <w:sectPr w:rsidR="007F4E20" w:rsidRPr="007A33D3" w:rsidSect="00437F18">
      <w:pgSz w:w="11907" w:h="16839" w:code="9"/>
      <w:pgMar w:top="1276" w:right="890" w:bottom="584" w:left="13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BF80" w14:textId="77777777" w:rsidR="00E641EF" w:rsidRDefault="00E641EF" w:rsidP="00136E53">
      <w:pPr>
        <w:spacing w:after="0" w:line="240" w:lineRule="auto"/>
      </w:pPr>
      <w:r>
        <w:separator/>
      </w:r>
    </w:p>
  </w:endnote>
  <w:endnote w:type="continuationSeparator" w:id="0">
    <w:p w14:paraId="18892439" w14:textId="77777777" w:rsidR="00E641EF" w:rsidRDefault="00E641EF" w:rsidP="0013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77B0" w14:textId="77777777" w:rsidR="00E641EF" w:rsidRDefault="00E641EF" w:rsidP="00136E53">
      <w:pPr>
        <w:spacing w:after="0" w:line="240" w:lineRule="auto"/>
      </w:pPr>
      <w:r>
        <w:separator/>
      </w:r>
    </w:p>
  </w:footnote>
  <w:footnote w:type="continuationSeparator" w:id="0">
    <w:p w14:paraId="374D19D0" w14:textId="77777777" w:rsidR="00E641EF" w:rsidRDefault="00E641EF" w:rsidP="00136E53">
      <w:pPr>
        <w:spacing w:after="0" w:line="240" w:lineRule="auto"/>
      </w:pPr>
      <w:r>
        <w:continuationSeparator/>
      </w:r>
    </w:p>
  </w:footnote>
  <w:footnote w:id="1">
    <w:p w14:paraId="40C10C19" w14:textId="77777777" w:rsidR="00136E53" w:rsidRDefault="00136E53" w:rsidP="002A0892">
      <w:pPr>
        <w:pStyle w:val="Default"/>
        <w:spacing w:after="200"/>
      </w:pPr>
      <w:r w:rsidRPr="009F7E0B">
        <w:rPr>
          <w:rStyle w:val="FootnoteReference"/>
          <w:rFonts w:ascii="Calibri" w:hAnsi="Calibri"/>
          <w:sz w:val="16"/>
          <w:szCs w:val="16"/>
        </w:rPr>
        <w:footnoteRef/>
      </w:r>
      <w:r w:rsidRPr="009F7E0B">
        <w:rPr>
          <w:rFonts w:ascii="Calibri" w:hAnsi="Calibri"/>
          <w:sz w:val="16"/>
          <w:szCs w:val="16"/>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0F47"/>
    <w:multiLevelType w:val="hybridMultilevel"/>
    <w:tmpl w:val="0AD02154"/>
    <w:lvl w:ilvl="0" w:tplc="7144B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AC3133"/>
    <w:multiLevelType w:val="hybridMultilevel"/>
    <w:tmpl w:val="717E4E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816D3"/>
    <w:multiLevelType w:val="hybridMultilevel"/>
    <w:tmpl w:val="8C6445B6"/>
    <w:lvl w:ilvl="0" w:tplc="33409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BA5A93"/>
    <w:multiLevelType w:val="hybridMultilevel"/>
    <w:tmpl w:val="25FCC0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6372661">
    <w:abstractNumId w:val="3"/>
  </w:num>
  <w:num w:numId="2" w16cid:durableId="1990744807">
    <w:abstractNumId w:val="2"/>
  </w:num>
  <w:num w:numId="3" w16cid:durableId="1912617615">
    <w:abstractNumId w:val="1"/>
  </w:num>
  <w:num w:numId="4" w16cid:durableId="163147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58"/>
    <w:rsid w:val="000203FA"/>
    <w:rsid w:val="0004085B"/>
    <w:rsid w:val="00054FD0"/>
    <w:rsid w:val="00086C55"/>
    <w:rsid w:val="000A5DC2"/>
    <w:rsid w:val="000B5830"/>
    <w:rsid w:val="000D5B2E"/>
    <w:rsid w:val="00136E53"/>
    <w:rsid w:val="00197463"/>
    <w:rsid w:val="001D7F3D"/>
    <w:rsid w:val="00235FD7"/>
    <w:rsid w:val="00263EB1"/>
    <w:rsid w:val="00290D72"/>
    <w:rsid w:val="002A0892"/>
    <w:rsid w:val="002B0BEA"/>
    <w:rsid w:val="002B49A6"/>
    <w:rsid w:val="0031644F"/>
    <w:rsid w:val="00323C32"/>
    <w:rsid w:val="00344646"/>
    <w:rsid w:val="00353D1A"/>
    <w:rsid w:val="00370ABF"/>
    <w:rsid w:val="003810C5"/>
    <w:rsid w:val="00392658"/>
    <w:rsid w:val="003C12D4"/>
    <w:rsid w:val="003E0A15"/>
    <w:rsid w:val="00436CE1"/>
    <w:rsid w:val="00437F18"/>
    <w:rsid w:val="004D7260"/>
    <w:rsid w:val="004E1B47"/>
    <w:rsid w:val="004E512E"/>
    <w:rsid w:val="005121B4"/>
    <w:rsid w:val="00530894"/>
    <w:rsid w:val="00532EB4"/>
    <w:rsid w:val="005E15A9"/>
    <w:rsid w:val="0061231D"/>
    <w:rsid w:val="00684714"/>
    <w:rsid w:val="006A4012"/>
    <w:rsid w:val="00746CD3"/>
    <w:rsid w:val="00790E81"/>
    <w:rsid w:val="007A33D3"/>
    <w:rsid w:val="007B0356"/>
    <w:rsid w:val="007F4E20"/>
    <w:rsid w:val="0080730F"/>
    <w:rsid w:val="00850182"/>
    <w:rsid w:val="008A246F"/>
    <w:rsid w:val="008C083A"/>
    <w:rsid w:val="008D07DC"/>
    <w:rsid w:val="008E0949"/>
    <w:rsid w:val="008E1961"/>
    <w:rsid w:val="008E71C6"/>
    <w:rsid w:val="008F4634"/>
    <w:rsid w:val="00901583"/>
    <w:rsid w:val="00917C67"/>
    <w:rsid w:val="00922DCB"/>
    <w:rsid w:val="00932DEB"/>
    <w:rsid w:val="00993AC6"/>
    <w:rsid w:val="00A145A6"/>
    <w:rsid w:val="00A701BC"/>
    <w:rsid w:val="00A94A3E"/>
    <w:rsid w:val="00AA46C9"/>
    <w:rsid w:val="00AA6398"/>
    <w:rsid w:val="00AB7735"/>
    <w:rsid w:val="00B00AA7"/>
    <w:rsid w:val="00B03D4B"/>
    <w:rsid w:val="00B1565F"/>
    <w:rsid w:val="00B369D4"/>
    <w:rsid w:val="00B66F55"/>
    <w:rsid w:val="00B75E6D"/>
    <w:rsid w:val="00B76706"/>
    <w:rsid w:val="00BE04BE"/>
    <w:rsid w:val="00C35504"/>
    <w:rsid w:val="00C659A8"/>
    <w:rsid w:val="00C83773"/>
    <w:rsid w:val="00CE32FC"/>
    <w:rsid w:val="00D13902"/>
    <w:rsid w:val="00DE0A2A"/>
    <w:rsid w:val="00E56A6C"/>
    <w:rsid w:val="00E641EF"/>
    <w:rsid w:val="00E84077"/>
    <w:rsid w:val="00EF4143"/>
    <w:rsid w:val="00F40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A2F8"/>
  <w15:docId w15:val="{E7F1066D-E57C-4D2C-AB12-4FFA0AD4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892"/>
    <w:pPr>
      <w:spacing w:after="120" w:line="240" w:lineRule="auto"/>
      <w:outlineLvl w:val="0"/>
    </w:pPr>
    <w:rPr>
      <w:rFonts w:ascii="Calibri" w:hAnsi="Calibri"/>
      <w:b/>
      <w:sz w:val="22"/>
      <w:u w:val="single"/>
    </w:rPr>
  </w:style>
  <w:style w:type="paragraph" w:styleId="Heading2">
    <w:name w:val="heading 2"/>
    <w:basedOn w:val="Normal"/>
    <w:next w:val="Normal"/>
    <w:link w:val="Heading2Char"/>
    <w:uiPriority w:val="9"/>
    <w:unhideWhenUsed/>
    <w:qFormat/>
    <w:rsid w:val="002A0892"/>
    <w:pPr>
      <w:spacing w:after="120" w:line="240" w:lineRule="auto"/>
      <w:outlineLvl w:val="1"/>
    </w:pPr>
    <w:rPr>
      <w:rFonts w:ascii="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658"/>
    <w:pPr>
      <w:widowControl w:val="0"/>
      <w:autoSpaceDE w:val="0"/>
      <w:autoSpaceDN w:val="0"/>
      <w:adjustRightInd w:val="0"/>
      <w:spacing w:after="0" w:line="240" w:lineRule="auto"/>
    </w:pPr>
    <w:rPr>
      <w:rFonts w:eastAsiaTheme="minorEastAsia" w:cs="Times New Roman"/>
      <w:color w:val="000000"/>
      <w:szCs w:val="24"/>
      <w:lang w:eastAsia="en-AU"/>
    </w:rPr>
  </w:style>
  <w:style w:type="paragraph" w:styleId="BalloonText">
    <w:name w:val="Balloon Text"/>
    <w:basedOn w:val="Normal"/>
    <w:link w:val="BalloonTextChar"/>
    <w:uiPriority w:val="99"/>
    <w:semiHidden/>
    <w:unhideWhenUsed/>
    <w:rsid w:val="00323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32"/>
    <w:rPr>
      <w:rFonts w:ascii="Tahoma" w:hAnsi="Tahoma" w:cs="Tahoma"/>
      <w:sz w:val="16"/>
      <w:szCs w:val="16"/>
    </w:rPr>
  </w:style>
  <w:style w:type="paragraph" w:styleId="ListParagraph">
    <w:name w:val="List Paragraph"/>
    <w:basedOn w:val="Normal"/>
    <w:uiPriority w:val="34"/>
    <w:qFormat/>
    <w:rsid w:val="00323C32"/>
    <w:pPr>
      <w:ind w:left="720"/>
      <w:contextualSpacing/>
    </w:pPr>
  </w:style>
  <w:style w:type="paragraph" w:styleId="PlainText">
    <w:name w:val="Plain Text"/>
    <w:basedOn w:val="Normal"/>
    <w:link w:val="PlainTextChar"/>
    <w:rsid w:val="000B5830"/>
    <w:pPr>
      <w:spacing w:after="0" w:line="240" w:lineRule="auto"/>
    </w:pPr>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0B5830"/>
    <w:rPr>
      <w:rFonts w:ascii="Courier New" w:eastAsia="Times New Roman" w:hAnsi="Courier New" w:cs="Times New Roman"/>
      <w:sz w:val="20"/>
      <w:szCs w:val="20"/>
      <w:lang w:eastAsia="en-AU"/>
    </w:rPr>
  </w:style>
  <w:style w:type="paragraph" w:styleId="FootnoteText">
    <w:name w:val="footnote text"/>
    <w:basedOn w:val="Normal"/>
    <w:link w:val="FootnoteTextChar"/>
    <w:uiPriority w:val="99"/>
    <w:semiHidden/>
    <w:unhideWhenUsed/>
    <w:rsid w:val="00136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E53"/>
    <w:rPr>
      <w:sz w:val="20"/>
      <w:szCs w:val="20"/>
    </w:rPr>
  </w:style>
  <w:style w:type="character" w:styleId="FootnoteReference">
    <w:name w:val="footnote reference"/>
    <w:basedOn w:val="DefaultParagraphFont"/>
    <w:uiPriority w:val="99"/>
    <w:semiHidden/>
    <w:unhideWhenUsed/>
    <w:rsid w:val="00136E53"/>
    <w:rPr>
      <w:vertAlign w:val="superscript"/>
    </w:rPr>
  </w:style>
  <w:style w:type="character" w:customStyle="1" w:styleId="Heading1Char">
    <w:name w:val="Heading 1 Char"/>
    <w:basedOn w:val="DefaultParagraphFont"/>
    <w:link w:val="Heading1"/>
    <w:uiPriority w:val="9"/>
    <w:rsid w:val="002A0892"/>
    <w:rPr>
      <w:rFonts w:ascii="Calibri" w:hAnsi="Calibri"/>
      <w:b/>
      <w:sz w:val="22"/>
      <w:u w:val="single"/>
    </w:rPr>
  </w:style>
  <w:style w:type="character" w:styleId="Strong">
    <w:name w:val="Strong"/>
    <w:uiPriority w:val="22"/>
    <w:qFormat/>
    <w:rsid w:val="002A0892"/>
    <w:rPr>
      <w:rFonts w:ascii="Calibri" w:hAnsi="Calibri"/>
      <w:b/>
      <w:sz w:val="22"/>
    </w:rPr>
  </w:style>
  <w:style w:type="character" w:styleId="IntenseEmphasis">
    <w:name w:val="Intense Emphasis"/>
    <w:basedOn w:val="Strong"/>
    <w:uiPriority w:val="21"/>
    <w:qFormat/>
    <w:rsid w:val="002A0892"/>
    <w:rPr>
      <w:rFonts w:ascii="Calibri" w:hAnsi="Calibri"/>
      <w:b/>
      <w:i/>
      <w:sz w:val="22"/>
    </w:rPr>
  </w:style>
  <w:style w:type="character" w:customStyle="1" w:styleId="Heading2Char">
    <w:name w:val="Heading 2 Char"/>
    <w:basedOn w:val="DefaultParagraphFont"/>
    <w:link w:val="Heading2"/>
    <w:uiPriority w:val="9"/>
    <w:rsid w:val="002A0892"/>
    <w:rPr>
      <w:rFonts w:ascii="Calibri" w:hAnsi="Calibri"/>
      <w:b/>
      <w:sz w:val="22"/>
    </w:rPr>
  </w:style>
  <w:style w:type="character" w:styleId="Emphasis">
    <w:name w:val="Emphasis"/>
    <w:uiPriority w:val="20"/>
    <w:qFormat/>
    <w:rsid w:val="002A0892"/>
    <w:rPr>
      <w:rFonts w:ascii="Calibri" w:hAnsi="Calibri"/>
      <w:i/>
      <w:sz w:val="22"/>
    </w:rPr>
  </w:style>
  <w:style w:type="character" w:styleId="CommentReference">
    <w:name w:val="annotation reference"/>
    <w:basedOn w:val="DefaultParagraphFont"/>
    <w:uiPriority w:val="99"/>
    <w:semiHidden/>
    <w:unhideWhenUsed/>
    <w:rsid w:val="0080730F"/>
    <w:rPr>
      <w:sz w:val="16"/>
      <w:szCs w:val="16"/>
    </w:rPr>
  </w:style>
  <w:style w:type="paragraph" w:styleId="CommentText">
    <w:name w:val="annotation text"/>
    <w:basedOn w:val="Normal"/>
    <w:link w:val="CommentTextChar"/>
    <w:uiPriority w:val="99"/>
    <w:semiHidden/>
    <w:unhideWhenUsed/>
    <w:rsid w:val="0080730F"/>
    <w:pPr>
      <w:spacing w:line="240" w:lineRule="auto"/>
    </w:pPr>
    <w:rPr>
      <w:sz w:val="20"/>
      <w:szCs w:val="20"/>
    </w:rPr>
  </w:style>
  <w:style w:type="character" w:customStyle="1" w:styleId="CommentTextChar">
    <w:name w:val="Comment Text Char"/>
    <w:basedOn w:val="DefaultParagraphFont"/>
    <w:link w:val="CommentText"/>
    <w:uiPriority w:val="99"/>
    <w:semiHidden/>
    <w:rsid w:val="0080730F"/>
    <w:rPr>
      <w:sz w:val="20"/>
      <w:szCs w:val="20"/>
    </w:rPr>
  </w:style>
  <w:style w:type="paragraph" w:styleId="CommentSubject">
    <w:name w:val="annotation subject"/>
    <w:basedOn w:val="CommentText"/>
    <w:next w:val="CommentText"/>
    <w:link w:val="CommentSubjectChar"/>
    <w:uiPriority w:val="99"/>
    <w:semiHidden/>
    <w:unhideWhenUsed/>
    <w:rsid w:val="0080730F"/>
    <w:rPr>
      <w:b/>
      <w:bCs/>
    </w:rPr>
  </w:style>
  <w:style w:type="character" w:customStyle="1" w:styleId="CommentSubjectChar">
    <w:name w:val="Comment Subject Char"/>
    <w:basedOn w:val="CommentTextChar"/>
    <w:link w:val="CommentSubject"/>
    <w:uiPriority w:val="99"/>
    <w:semiHidden/>
    <w:rsid w:val="0080730F"/>
    <w:rPr>
      <w:b/>
      <w:bCs/>
      <w:sz w:val="20"/>
      <w:szCs w:val="20"/>
    </w:rPr>
  </w:style>
  <w:style w:type="paragraph" w:styleId="Revision">
    <w:name w:val="Revision"/>
    <w:hidden/>
    <w:uiPriority w:val="99"/>
    <w:semiHidden/>
    <w:rsid w:val="00B00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227DA23EF1AA41914BB7C2E9486BEA" ma:contentTypeVersion="4" ma:contentTypeDescription="Create a new document." ma:contentTypeScope="" ma:versionID="b741e5feb81a69201e056bc62d48a023">
  <xsd:schema xmlns:xsd="http://www.w3.org/2001/XMLSchema" xmlns:xs="http://www.w3.org/2001/XMLSchema" xmlns:p="http://schemas.microsoft.com/office/2006/metadata/properties" xmlns:ns2="93fe0be1-90a2-49c8-aea6-73ec37941784" targetNamespace="http://schemas.microsoft.com/office/2006/metadata/properties" ma:root="true" ma:fieldsID="900d5cc52e32f5e889dbbc84ccae6032" ns2:_="">
    <xsd:import namespace="93fe0be1-90a2-49c8-aea6-73ec37941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0be1-90a2-49c8-aea6-73ec37941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6CC47-E487-48F2-ACB3-2BEBBC3203FF}">
  <ds:schemaRefs>
    <ds:schemaRef ds:uri="http://schemas.microsoft.com/office/2006/metadata/properties"/>
    <ds:schemaRef ds:uri="http://schemas.microsoft.com/office/infopath/2007/PartnerControls"/>
    <ds:schemaRef ds:uri="http://schemas.microsoft.com/sharepoint/v3/fields"/>
    <ds:schemaRef ds:uri="1f499eb4-8e83-41a2-b545-080c8346d6a1"/>
    <ds:schemaRef ds:uri="http://schemas.microsoft.com/sharepoint/v3"/>
    <ds:schemaRef ds:uri="31eff25c-6385-4a1c-a3f2-d100c646c02d"/>
  </ds:schemaRefs>
</ds:datastoreItem>
</file>

<file path=customXml/itemProps2.xml><?xml version="1.0" encoding="utf-8"?>
<ds:datastoreItem xmlns:ds="http://schemas.openxmlformats.org/officeDocument/2006/customXml" ds:itemID="{07974EB7-671E-4B4E-A677-259CC809C658}">
  <ds:schemaRefs>
    <ds:schemaRef ds:uri="http://schemas.openxmlformats.org/officeDocument/2006/bibliography"/>
  </ds:schemaRefs>
</ds:datastoreItem>
</file>

<file path=customXml/itemProps3.xml><?xml version="1.0" encoding="utf-8"?>
<ds:datastoreItem xmlns:ds="http://schemas.openxmlformats.org/officeDocument/2006/customXml" ds:itemID="{2DEE203E-DA64-4D11-B8D0-D724C8A46A62}">
  <ds:schemaRefs>
    <ds:schemaRef ds:uri="http://schemas.microsoft.com/sharepoint/v3/contenttype/forms"/>
  </ds:schemaRefs>
</ds:datastoreItem>
</file>

<file path=customXml/itemProps4.xml><?xml version="1.0" encoding="utf-8"?>
<ds:datastoreItem xmlns:ds="http://schemas.openxmlformats.org/officeDocument/2006/customXml" ds:itemID="{0F0CDDE2-A71E-408B-B322-9CA7C3DBF950}"/>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E - 2020-21 APCS Independent Audit Report Qualified Audit Opinion template(1)</vt:lpstr>
    </vt:vector>
  </TitlesOfParts>
  <Company>Dept Health And Ageing</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- 2020-21 APCS Independent Audit Report Qualified Audit Opinion template(1)</dc:title>
  <dc:subject>Annual Prudential Compliance Statement (APCS) ; Audit Opinion Example</dc:subject>
  <dc:creator>Department of Health</dc:creator>
  <cp:keywords>Template Audit Opinion: Independent Auditor's report</cp:keywords>
  <cp:lastModifiedBy>Liam Devlin</cp:lastModifiedBy>
  <cp:revision>5</cp:revision>
  <cp:lastPrinted>2016-07-20T02:34:00Z</cp:lastPrinted>
  <dcterms:created xsi:type="dcterms:W3CDTF">2022-07-22T02:21:00Z</dcterms:created>
  <dcterms:modified xsi:type="dcterms:W3CDTF">2024-07-25T22:28:00Z</dcterms:modified>
  <cp:category>Annual Prudential Compliance Statement (APCS)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0x010100CF227DA23EF1AA41914BB7C2E9486BEA</vt:lpwstr>
  </property>
  <property fmtid="{D5CDD505-2E9C-101B-9397-08002B2CF9AE}" pid="9" name="Order">
    <vt:r8>70217400</vt:r8>
  </property>
  <property fmtid="{D5CDD505-2E9C-101B-9397-08002B2CF9AE}" pid="10" name="Owner">
    <vt:lpwstr>ACQSC ACQSCD ACIB Prudential Compliance SN</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riggerFlowInfo">
    <vt:lpwstr/>
  </property>
  <property fmtid="{D5CDD505-2E9C-101B-9397-08002B2CF9AE}" pid="15" name="xd_Signature">
    <vt:bool>false</vt:bool>
  </property>
  <property fmtid="{D5CDD505-2E9C-101B-9397-08002B2CF9AE}" pid="16" name="RetentionSch">
    <vt:lpwstr>61967</vt:lpwstr>
  </property>
  <property fmtid="{D5CDD505-2E9C-101B-9397-08002B2CF9AE}" pid="17" name="ProvidedACRC">
    <vt:lpwstr>No</vt:lpwstr>
  </property>
  <property fmtid="{D5CDD505-2E9C-101B-9397-08002B2CF9AE}" pid="18" name="UniqueID0">
    <vt:lpwstr>216234794</vt:lpwstr>
  </property>
  <property fmtid="{D5CDD505-2E9C-101B-9397-08002B2CF9AE}" pid="19" name="DOS">
    <vt:lpwstr>A7216234794_Attachment E - 2020-21 APCS Independent Audit Report Qualified Audit Opinion template(1).DOCX</vt:lpwstr>
  </property>
  <property fmtid="{D5CDD505-2E9C-101B-9397-08002B2CF9AE}" pid="20" name="MigrationSource">
    <vt:lpwstr>19. ACQSC Docs 10.txt</vt:lpwstr>
  </property>
  <property fmtid="{D5CDD505-2E9C-101B-9397-08002B2CF9AE}" pid="21" name="IMT">
    <vt:lpwstr>application/vnd.openxmlformats-officedocument.wordprocessingml.document</vt:lpwstr>
  </property>
  <property fmtid="{D5CDD505-2E9C-101B-9397-08002B2CF9AE}" pid="22" name="Creator">
    <vt:lpwstr>Todorovski, Laura</vt:lpwstr>
  </property>
  <property fmtid="{D5CDD505-2E9C-101B-9397-08002B2CF9AE}" pid="23" name="FirstPrev">
    <vt:lpwstr>D2021-01611211;</vt:lpwstr>
  </property>
  <property fmtid="{D5CDD505-2E9C-101B-9397-08002B2CF9AE}" pid="24" name="Sec">
    <vt:lpwstr>OFFICIAL</vt:lpwstr>
  </property>
  <property fmtid="{D5CDD505-2E9C-101B-9397-08002B2CF9AE}" pid="25" name="RecordType">
    <vt:lpwstr>Corporate Document</vt:lpwstr>
  </property>
</Properties>
</file>